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word/webSettings.xml" ContentType="application/vnd.openxmlformats-officedocument.wordprocessingml.webSetting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bookmarkStart w:id="1" w:name="_fd7ce4f49b6c33163a67c12d097e5bb1"/>
    <w:bookmarkStart w:id="2" w:name="_1715b88486cdf32a883ad98166be45b6"/>
    <w:bookmarkStart w:id="3" w:name="_78523e90048af9308d791f3c9e5e0a00"/>
    <w:bookmarkStart w:id="4" w:name="_ecc5eacb87828bac163d882b67b59903"/>
    <w:bookmarkEnd w:id="4"/>
    <w:bookmarkStart w:id="5" w:name="_8496ca977d9891f7cb4c97e965c019d3"/>
    <w:bookmarkEnd w:id="5"/>
    <w:bookmarkStart w:id="6" w:name="_694312dfe9ee2050ddda77bc92a8387b"/>
    <w:bookmarkEnd w:id="6"/>
    <w:bookmarkStart w:id="7" w:name="_dd68f2c5b50a1e81364a2506fb07d2fd"/>
    <w:bookmarkEnd w:id="7"/>
    <w:bookmarkStart w:id="8" w:name="_a75c6c868ba7cc2f942d5b7cb35f7780"/>
    <w:bookmarkEnd w:id="8"/>
    <w:bookmarkStart w:id="9" w:name="_852ad7a2a03abc6dca87b35aa5bf4070"/>
    <w:bookmarkEnd w:id="9"/>
    <w:bookmarkStart w:id="10" w:name="_04fafd69d85b64cd1ba3823fc12cc2ae"/>
    <w:bookmarkEnd w:id="10"/>
    <w:bookmarkStart w:id="11" w:name="_186027680c2b23b84a419f275f68103a"/>
    <w:bookmarkEnd w:id="11"/>
    <w:bookmarkStart w:id="12" w:name="_b7e90284cf1cd59c47edd80756912469"/>
    <w:bookmarkEnd w:id="12"/>
    <w:bookmarkStart w:id="13" w:name="_f806d005219ab40a27ae42fdfe224911"/>
    <w:bookmarkEnd w:id="13"/>
    <w:bookmarkStart w:id="14" w:name="_46f3186228ba76195120cd9fd5a040ca"/>
    <w:bookmarkEnd w:id="14"/>
    <w:bookmarkStart w:id="15" w:name="_2c79e66960c7b336a75d9c896c278853"/>
    <w:bookmarkEnd w:id="15"/>
    <w:bookmarkStart w:id="16" w:name="_83b1c23c30aa32a7a029e3e708e54d40"/>
    <w:bookmarkEnd w:id="16"/>
    <w:bookmarkStart w:id="17" w:name="_a5320b1187281540c49dd1ec5b469a74"/>
    <w:bookmarkEnd w:id="17"/>
    <w:bookmarkStart w:id="18" w:name="_5c1b4e85ed50c1f9d42671c749aa839a"/>
    <w:bookmarkEnd w:id="18"/>
    <w:bookmarkStart w:id="19" w:name="_ce5f2b00a2aaaae6875dc68192b21991"/>
    <w:bookmarkEnd w:id="19"/>
    <w:bookmarkStart w:id="20" w:name="_605d19711fb36c301c32e508646465d7"/>
    <w:bookmarkEnd w:id="20"/>
    <w:bookmarkStart w:id="21" w:name="_2eb212587c12a78cc49911721c77873d"/>
    <w:bookmarkEnd w:id="21"/>
    <w:bookmarkStart w:id="22" w:name="_68638ea6628c3cbb007c5499f35e127f"/>
    <w:bookmarkEnd w:id="22"/>
    <w:bookmarkStart w:id="23" w:name="_9c367baacf76848ccdcbb4bd19100974"/>
    <w:bookmarkEnd w:id="23"/>
    <w:bookmarkStart w:id="24" w:name="_2ec57774862d2e2b59947b7d272af8f3"/>
    <w:bookmarkEnd w:id="24"/>
    <w:bookmarkStart w:id="25" w:name="_5c6dbc11167a982c59d763dc15ef93b7"/>
    <w:bookmarkEnd w:id="25"/>
    <w:bookmarkStart w:id="26" w:name="_f01f2f840acde8642434946bb2deeaa5"/>
    <w:bookmarkEnd w:id="26"/>
    <w:bookmarkStart w:id="27" w:name="_c65b2085cc265417c1682de344ee8455"/>
    <w:bookmarkEnd w:id="27"/>
    <w:bookmarkStart w:id="28" w:name="_7f5e3442b330b4e91f53cb3c48603803"/>
    <w:bookmarkEnd w:id="28"/>
    <w:bookmarkStart w:id="29" w:name="_c5fefa69989156b14b78600a2b357b03"/>
    <w:bookmarkEnd w:id="29"/>
    <w:bookmarkStart w:id="30" w:name="_a3c89076836b0ac32ea226b45049ac7f"/>
    <w:bookmarkEnd w:id="30"/>
    <w:bookmarkStart w:id="31" w:name="_5bfb6c3c4a4d08fe61dba3d4a38a410a"/>
    <w:bookmarkEnd w:id="31"/>
    <w:bookmarkStart w:id="32" w:name="_1b8700ae18d31571f545bbcd0fa4bee6"/>
    <w:bookmarkEnd w:id="32"/>
    <w:bookmarkStart w:id="33" w:name="_e77bd4b5949ff27340bdcf73e30095f2"/>
    <w:bookmarkEnd w:id="33"/>
    <w:bookmarkStart w:id="34" w:name="_788d316ab513900bc8b1277440dcdc7f"/>
    <w:bookmarkEnd w:id="34"/>
    <w:bookmarkStart w:id="35" w:name="_ff2832a622c7691942ba0916acca7a93"/>
    <w:bookmarkEnd w:id="35"/>
    <w:bookmarkStart w:id="36" w:name="_abaaa753ca42e935a4ec43f5dfb1fd0e"/>
    <w:bookmarkEnd w:id="36"/>
    <w:bookmarkStart w:id="37" w:name="_00fb75b3495a4f2d424bff8a09d75468"/>
    <w:bookmarkEnd w:id="37"/>
    <w:bookmarkStart w:id="38" w:name="_037a5f8b8de98fafb11576eb20e73364"/>
    <w:bookmarkEnd w:id="38"/>
    <w:bookmarkStart w:id="39" w:name="_39e59f4acbcb6cd5dbb83309b7aa390b"/>
    <w:bookmarkEnd w:id="39"/>
    <w:bookmarkStart w:id="40" w:name="_fdd1f10a5f07e7796246a3fd0f485bd3"/>
    <w:bookmarkEnd w:id="40"/>
    <w:bookmarkStart w:id="41" w:name="_317e08b7acadcdf9ff60a786157ea045"/>
    <w:bookmarkEnd w:id="41"/>
    <w:bookmarkStart w:id="42" w:name="_52636efc6b7346c684a37b7e02c1a43c"/>
    <w:bookmarkEnd w:id="42"/>
    <w:bookmarkStart w:id="43" w:name="_2a628a73a510510128808353de8f0c67"/>
    <w:bookmarkEnd w:id="43"/>
    <w:bookmarkStart w:id="44" w:name="_499bb2a2014e26ecaec23ad468eff961"/>
    <w:bookmarkEnd w:id="44"/>
    <w:bookmarkStart w:id="45" w:name="_9127efe602fdbaad50e06ac690fa1496"/>
    <w:bookmarkEnd w:id="45"/>
    <w:bookmarkStart w:id="46" w:name="_cb62bd8d65d3b3382f1d3aa79969f4aa"/>
    <w:bookmarkEnd w:id="46"/>
    <w:bookmarkStart w:id="47" w:name="_8d2f77027a8906af7eba19017319ca2a"/>
    <w:bookmarkEnd w:id="47"/>
    <w:bookmarkStart w:id="48" w:name="_c46826eded8e1eee41fa4dea782c7588"/>
    <w:bookmarkEnd w:id="48"/>
    <w:bookmarkStart w:id="49" w:name="_d6ee69f5de6ba4dd9617ff105f518ac4"/>
    <w:bookmarkEnd w:id="49"/>
    <w:bookmarkStart w:id="50" w:name="_b9decf16aafe2c137fa467d487a8ab47"/>
    <w:bookmarkEnd w:id="50"/>
    <w:bookmarkStart w:id="51" w:name="_e4c6c2d4bf2cdffbf26c320666909b89"/>
    <w:bookmarkEnd w:id="51"/>
    <w:bookmarkStart w:id="52" w:name="_514bf45f015e7baf9b841779b9d38936"/>
    <w:bookmarkEnd w:id="52"/>
    <w:bookmarkStart w:id="53" w:name="_3d082d9654ee84f6301b4c8f2ac1faf9"/>
    <w:bookmarkEnd w:id="53"/>
    <w:bookmarkStart w:id="54" w:name="_748636dcad31c217d4b14539f750ba58"/>
    <w:bookmarkEnd w:id="54"/>
    <w:bookmarkStart w:id="55" w:name="_095780e2a88575e5470b3a74ade90f18"/>
    <w:bookmarkEnd w:id="55"/>
    <w:bookmarkStart w:id="56" w:name="_673ca5d919b67d6ea2f028e922d9f6c3"/>
    <w:bookmarkEnd w:id="56"/>
    <w:bookmarkStart w:id="57" w:name="_003796d39d97fdbc27522675a3961ce6"/>
    <w:bookmarkEnd w:id="57"/>
    <w:bookmarkStart w:id="58" w:name="_b74869d50704531f658a76caff39909e"/>
    <w:bookmarkEnd w:id="58"/>
    <w:bookmarkStart w:id="59" w:name="_7416a44db047483b4cb6572321f2d685"/>
    <w:bookmarkEnd w:id="59"/>
    <w:bookmarkStart w:id="60" w:name="_783d11dec0cdf20167f003a64e692b13"/>
    <w:bookmarkEnd w:id="60"/>
    <w:bookmarkStart w:id="61" w:name="_3dd03e5f10555466cf3ce5c94f1e847c"/>
    <w:bookmarkEnd w:id="61"/>
    <w:bookmarkStart w:id="62" w:name="_6c6098a14bc5770ca33341239f30266d"/>
    <w:bookmarkEnd w:id="62"/>
    <w:bookmarkStart w:id="63" w:name="_07d45e471192a784d2333216eaaa93b7"/>
    <w:bookmarkEnd w:id="63"/>
    <w:bookmarkStart w:id="64" w:name="_2a11b26838078fafbde7b531e62811ca"/>
    <w:bookmarkEnd w:id="64"/>
    <w:bookmarkStart w:id="65" w:name="_a68bc1f94162f34e4c2ea64321c076cc"/>
    <w:bookmarkEnd w:id="65"/>
    <w:bookmarkStart w:id="66" w:name="_cc4e960ebcc06cc0c511cd6ffafee10b"/>
    <w:bookmarkEnd w:id="66"/>
    <w:bookmarkStart w:id="67" w:name="_91d9efb2a7a30808372957788e16c867"/>
    <w:bookmarkEnd w:id="67"/>
    <w:bookmarkStart w:id="68" w:name="_af70b785c7ba3bacd7b3cc1a84075d53"/>
    <w:bookmarkEnd w:id="68"/>
    <w:bookmarkStart w:id="69" w:name="_878dd60e9eb907a7ae5265fa3391f857"/>
    <w:bookmarkEnd w:id="69"/>
    <w:bookmarkStart w:id="70" w:name="_64d0cff1c45a667d9ba8eb8255c73fbf"/>
    <w:bookmarkEnd w:id="70"/>
    <w:bookmarkStart w:id="71" w:name="_02a28c8dd09b58b0cd999c3a1c18fafd"/>
    <w:bookmarkEnd w:id="71"/>
    <w:bookmarkStart w:id="72" w:name="_7daeb7b695105ab3bb68433e75c44da7"/>
    <w:bookmarkEnd w:id="72"/>
    <w:bookmarkStart w:id="73" w:name="_a21bf5ceb8416db7d059246e00426df5"/>
    <w:bookmarkEnd w:id="73"/>
    <w:bookmarkStart w:id="74" w:name="_103904e2e8c7079a855fdf016e3ae247"/>
    <w:bookmarkEnd w:id="74"/>
    <w:bookmarkStart w:id="75" w:name="_8616eb35a53e88e297e0e1730c79ed12"/>
    <w:bookmarkEnd w:id="75"/>
    <w:bookmarkStart w:id="76" w:name="_8a83cb8da0ae888fbe339611035f76ca"/>
    <w:bookmarkEnd w:id="76"/>
    <w:bookmarkStart w:id="77" w:name="_99da6be5e73b309a453863c194ea86a6"/>
    <w:bookmarkEnd w:id="77"/>
    <w:bookmarkStart w:id="78" w:name="_8aa5e9cdc1488a7b5eb3b17df6999479"/>
    <w:bookmarkEnd w:id="78"/>
    <w:bookmarkStart w:id="79" w:name="_9d086549316dd0c79900d7b09d5d30b8"/>
    <w:bookmarkEnd w:id="79"/>
    <w:bookmarkStart w:id="80" w:name="_a7e3d538909eee7881a3806499cec69c"/>
    <w:bookmarkEnd w:id="80"/>
    <w:bookmarkStart w:id="81" w:name="_8decad71e4bda3d57262c8eee01ec8f7"/>
    <w:bookmarkEnd w:id="81"/>
    <w:bookmarkStart w:id="82" w:name="_c549b902f7250cc0a2da4b3619e599b6"/>
    <w:bookmarkEnd w:id="82"/>
    <w:bookmarkStart w:id="83" w:name="_6347e9d55f407f3cfb59f972edb5046b"/>
    <w:bookmarkEnd w:id="83"/>
    <w:bookmarkStart w:id="84" w:name="_81b606beb99f04c060f1285571f4714a"/>
    <w:bookmarkEnd w:id="84"/>
    <w:bookmarkStart w:id="85" w:name="_af3128c13f7015916055bd51dd7c699a"/>
    <w:bookmarkEnd w:id="85"/>
    <w:bookmarkStart w:id="86" w:name="_4dd271667807b155ca4214a5f62f81ac"/>
    <w:bookmarkEnd w:id="86"/>
    <w:bookmarkStart w:id="87" w:name="_1d1155b1ba6a4ef062007037141eb97e"/>
    <w:bookmarkEnd w:id="87"/>
    <w:bookmarkStart w:id="88" w:name="_d4bf48c9b2a908884413b63463958ba5"/>
    <w:bookmarkEnd w:id="88"/>
    <w:bookmarkStart w:id="89" w:name="_4fffbff0a389e2a9fcec3012eb512675"/>
    <w:bookmarkEnd w:id="89"/>
    <w:bookmarkStart w:id="90" w:name="_2f3dc6489b38720597ad9b60347d8dac"/>
    <w:bookmarkEnd w:id="90"/>
    <w:bookmarkStart w:id="91" w:name="_7fc9f3db8fd421837b6d5e0a294279d0"/>
    <w:bookmarkEnd w:id="91"/>
    <w:bookmarkStart w:id="92" w:name="_90d32cffaebe39701e7d380af1adfd20"/>
    <w:bookmarkEnd w:id="92"/>
    <w:bookmarkStart w:id="93" w:name="_d987c8b77cd07eb32505d1c250d30366"/>
    <w:bookmarkEnd w:id="93"/>
    <w:bookmarkStart w:id="94" w:name="_a3b2b71364597b4452f9fcfc04bef992"/>
    <w:bookmarkEnd w:id="94"/>
    <w:bookmarkStart w:id="95" w:name="_afc8d224bf57efc8d3aaff7a3e234d9a"/>
    <w:bookmarkEnd w:id="95"/>
    <w:bookmarkStart w:id="96" w:name="_e094c682fc27ec977fc1cbe5ec43106b"/>
    <w:bookmarkEnd w:id="96"/>
    <w:bookmarkStart w:id="97" w:name="_ebcc03f27eee4a7c2e4826ec2fec9fc9"/>
    <w:bookmarkEnd w:id="97"/>
    <w:bookmarkStart w:id="98" w:name="_4670daaf6437112be4c59657525b1be3"/>
    <w:bookmarkEnd w:id="98"/>
    <w:bookmarkStart w:id="99" w:name="_98be00f001a6932b7df422b358756e1e"/>
    <w:bookmarkEnd w:id="99"/>
    <w:bookmarkStart w:id="100" w:name="_658923d2fb9701fe7ff41c4820f94f48"/>
    <w:bookmarkEnd w:id="100"/>
    <w:bookmarkStart w:id="101" w:name="_ecf47bc79aa81003bd5ad3809bdd2069"/>
    <w:bookmarkEnd w:id="101"/>
    <w:bookmarkStart w:id="102" w:name="_cd9d6f9291869c36710cf1ac575dd22b"/>
    <w:bookmarkEnd w:id="102"/>
    <w:bookmarkStart w:id="103" w:name="_7f1c28280ffff3da774c6b89ac5255e3"/>
    <w:bookmarkEnd w:id="103"/>
    <w:bookmarkStart w:id="104" w:name="_2de163f930d655acd713d462b4b61f7a"/>
    <w:bookmarkEnd w:id="104"/>
    <w:bookmarkStart w:id="105" w:name="_7ff2bd04a5aa953436062f83e5edee18"/>
    <w:bookmarkEnd w:id="105"/>
    <w:bookmarkStart w:id="106" w:name="_29f795c878a471da82ab93fe75f853cc"/>
    <w:bookmarkEnd w:id="106"/>
    <w:bookmarkStart w:id="107" w:name="_1a6915098e1dd2c8f39963c5724ea26d"/>
    <w:bookmarkEnd w:id="107"/>
    <w:bookmarkStart w:id="108" w:name="_a69fc730e9fc4b3c1a658209252988ed"/>
    <w:bookmarkEnd w:id="108"/>
    <w:bookmarkStart w:id="109" w:name="_87d8e4dc98d5f24cd08e773ac0d22feb"/>
    <w:bookmarkEnd w:id="109"/>
    <w:bookmarkStart w:id="110" w:name="_f17a0efcf709503a6fc51f6def690209"/>
    <w:bookmarkEnd w:id="110"/>
    <w:bookmarkStart w:id="111" w:name="_666caf04e4fbdf4d1c6fe2a1b8c63001"/>
    <w:bookmarkEnd w:id="111"/>
    <w:bookmarkStart w:id="112" w:name="_4d0d3fe39c7c09f03ddb3db8161ea605"/>
    <w:bookmarkEnd w:id="112"/>
    <w:bookmarkStart w:id="113" w:name="_235acc16841fa819ba3c522f23f6bd0b"/>
    <w:bookmarkEnd w:id="113"/>
    <w:bookmarkStart w:id="114" w:name="_ca0158f87a07183c66750b615f9a30a1"/>
    <w:bookmarkEnd w:id="114"/>
    <w:bookmarkStart w:id="115" w:name="_617dccb397deef8307c3cb8f0cac83e6"/>
    <w:bookmarkEnd w:id="115"/>
    <w:bookmarkStart w:id="116" w:name="_8e41c1daf2efbdb591d3b30002908176"/>
    <w:bookmarkEnd w:id="116"/>
    <w:bookmarkStart w:id="117" w:name="_9822094e750079fb563a7ba84f4fab8d"/>
    <w:bookmarkEnd w:id="117"/>
    <w:bookmarkStart w:id="118" w:name="_d0a266913defcf86978834b2e7befe79"/>
    <w:bookmarkEnd w:id="118"/>
    <w:bookmarkStart w:id="119" w:name="_309b82e5aa7dba3488c91ed3d80adb08"/>
    <w:bookmarkEnd w:id="119"/>
    <w:bookmarkStart w:id="120" w:name="_78ba2025a2f72aa669622412f90aefe5"/>
    <w:bookmarkEnd w:id="120"/>
    <w:bookmarkStart w:id="121" w:name="_95035ffd32d39d1b733cbd5d18bfe87a"/>
    <w:bookmarkEnd w:id="121"/>
    <w:bookmarkStart w:id="122" w:name="_e6458786ce0479fdf103801d18fc8710"/>
    <w:bookmarkEnd w:id="122"/>
    <w:bookmarkStart w:id="123" w:name="_87bc4b0da07fea3136e053f4c2aa5262"/>
    <w:bookmarkEnd w:id="123"/>
    <w:bookmarkStart w:id="124" w:name="_02d1ec203d1f8f84fd67230022ebab9e"/>
    <w:bookmarkEnd w:id="124"/>
    <w:bookmarkStart w:id="125" w:name="_fa250927deefb5c2ab0ee3adea91fc6d"/>
    <w:bookmarkEnd w:id="125"/>
    <w:bookmarkStart w:id="126" w:name="_4aaebf5020fe17663ace4017c97b7a0d"/>
    <w:bookmarkEnd w:id="126"/>
    <w:bookmarkStart w:id="127" w:name="_42006c2d23f887476f42caede44db1e0"/>
    <w:bookmarkEnd w:id="127"/>
    <w:bookmarkStart w:id="128" w:name="_5ca7241cc05df0be8e02fd8b3cfda6fc"/>
    <w:bookmarkEnd w:id="128"/>
    <w:bookmarkStart w:id="129" w:name="_5836c91c584051f36575d1efd4991e95"/>
    <w:bookmarkEnd w:id="129"/>
    <w:bookmarkStart w:id="130" w:name="_bbba8ac66e9ad2494013f5aae78eb568"/>
    <w:bookmarkEnd w:id="130"/>
    <w:bookmarkStart w:id="131" w:name="_6d03785748f483ccb34301e8f783f86b"/>
    <w:bookmarkEnd w:id="131"/>
    <w:bookmarkStart w:id="132" w:name="_2b07d36f1e28e1026c0813962fbe65c1"/>
    <w:bookmarkEnd w:id="132"/>
    <w:bookmarkStart w:id="133" w:name="_0770c34c4fd73fadbdb828d5bd3e726f"/>
    <w:bookmarkEnd w:id="133"/>
    <w:bookmarkStart w:id="134" w:name="_504efa0e645a6e4dc50a67d6ecc086e2"/>
    <w:bookmarkEnd w:id="134"/>
    <w:bookmarkStart w:id="135" w:name="_aeb9b636826c868be043a73fd58582fd"/>
    <w:bookmarkEnd w:id="135"/>
    <w:bookmarkStart w:id="136" w:name="_9bcdd3834520b27bf447babb322f95b8"/>
    <w:bookmarkEnd w:id="136"/>
    <w:bookmarkStart w:id="137" w:name="_cf974263375397aea9b4bee4ff17048a"/>
    <w:bookmarkEnd w:id="137"/>
    <w:bookmarkStart w:id="138" w:name="_a817b8567c480c37e7a4cf5fe59e9788"/>
    <w:bookmarkEnd w:id="138"/>
    <w:bookmarkStart w:id="139" w:name="_9597fe0c502b876f566ac4116b93d7e0"/>
    <w:bookmarkEnd w:id="139"/>
    <w:bookmarkStart w:id="140" w:name="_af9ad768d84fef82cf153e4065e562df"/>
    <w:bookmarkEnd w:id="140"/>
    <w:bookmarkStart w:id="141" w:name="_4fa559e1743a494d960521a24b2c9d48"/>
    <w:bookmarkEnd w:id="141"/>
    <w:bookmarkStart w:id="142" w:name="_62cf6eb695e3a8562b636763e2b94459"/>
    <w:bookmarkEnd w:id="142"/>
    <w:bookmarkStart w:id="143" w:name="_f4d0ef985ae551f92bf17e95155059d4"/>
    <w:bookmarkEnd w:id="143"/>
    <w:bookmarkStart w:id="144" w:name="_1d586ee26aa0645f5dc62b52a0e975ac"/>
    <w:bookmarkEnd w:id="144"/>
    <w:bookmarkStart w:id="145" w:name="_fb71e23f2e380184e86957941775b2b9"/>
    <w:bookmarkEnd w:id="145"/>
    <w:bookmarkStart w:id="146" w:name="_cdce00d0809ec0659f2e8d9a6a8b521a"/>
    <w:bookmarkEnd w:id="146"/>
    <w:bookmarkStart w:id="147" w:name="_60313ea99eaae0f02a270a442227fc06"/>
    <w:bookmarkEnd w:id="147"/>
    <w:bookmarkStart w:id="148" w:name="_3b692c4aefa6ddbc8d730b03d6a6b082"/>
    <w:bookmarkEnd w:id="148"/>
    <w:bookmarkStart w:id="149" w:name="_65ffd5a91d053b1a983afdcdaa472bd7"/>
    <w:bookmarkEnd w:id="149"/>
    <w:bookmarkStart w:id="150" w:name="_cf7ecebe8e9f3177a9bb4d45f334d8a5"/>
    <w:bookmarkEnd w:id="150"/>
    <w:bookmarkStart w:id="151" w:name="_f751ae645f7e7832e2de34b8289b9e49"/>
    <w:bookmarkEnd w:id="151"/>
    <w:bookmarkStart w:id="152" w:name="_97ec8b540697abbc05de5698868754ec"/>
    <w:bookmarkEnd w:id="152"/>
    <w:bookmarkStart w:id="153" w:name="_b42bd8091f8311a487e33095ce63efbf"/>
    <w:bookmarkEnd w:id="153"/>
    <w:bookmarkStart w:id="154" w:name="_4458f93521379fb3a128455245826030"/>
    <w:bookmarkEnd w:id="154"/>
    <w:bookmarkStart w:id="155" w:name="_041e919bd70c2fe96975036f83c292c0"/>
    <w:bookmarkEnd w:id="155"/>
    <w:bookmarkStart w:id="156" w:name="_25f5e96fa667e8a4b82203c53e09b4d4"/>
    <w:bookmarkEnd w:id="156"/>
    <w:bookmarkStart w:id="157" w:name="_2fe4c35939767519b0f9d83cbfc9dcd0"/>
    <w:bookmarkEnd w:id="157"/>
    <w:bookmarkStart w:id="158" w:name="_d2d2d992a67933a6e508ea7f4067478e"/>
    <w:bookmarkEnd w:id="158"/>
    <w:bookmarkStart w:id="159" w:name="_6c1423b4947804fb10c9af7b2edc7722"/>
    <w:bookmarkEnd w:id="159"/>
    <w:bookmarkStart w:id="160" w:name="_4e5e7af807ef837cca7808ddc611ccc0"/>
    <w:bookmarkEnd w:id="160"/>
    <w:bookmarkStart w:id="161" w:name="_c980558be2e3cfa50d531c68ae78c539"/>
    <w:bookmarkEnd w:id="161"/>
    <w:bookmarkStart w:id="162" w:name="_58d0328785d15c138dd4ffeb99769e94"/>
    <w:bookmarkEnd w:id="162"/>
    <w:bookmarkStart w:id="163" w:name="_9f5897324815fd1d96b2f443e0cff58a"/>
    <w:bookmarkEnd w:id="163"/>
    <w:bookmarkStart w:id="164" w:name="_1c92fab96e79b857952f9b3d41039d03"/>
    <w:bookmarkEnd w:id="164"/>
    <w:bookmarkStart w:id="165" w:name="_c3dff0fe5230cf0347af1745c68a8304"/>
    <w:bookmarkEnd w:id="165"/>
    <w:bookmarkStart w:id="166" w:name="_6bcbccfadcce7df1676b7c7ac6fec53b"/>
    <w:bookmarkEnd w:id="166"/>
    <w:bookmarkStart w:id="167" w:name="_c5d4e7729bbbe801822408d7526d9545"/>
    <w:bookmarkEnd w:id="167"/>
    <w:bookmarkStart w:id="168" w:name="_531b368b56f94fcf9e135ea83cdc04a6"/>
    <w:bookmarkEnd w:id="168"/>
    <w:bookmarkStart w:id="169" w:name="_0b08336a83383f6e77128d25ff27fd55"/>
    <w:bookmarkEnd w:id="169"/>
    <w:bookmarkStart w:id="170" w:name="_1b350e664f3405b28b5990d93640b821"/>
    <w:bookmarkEnd w:id="170"/>
    <w:bookmarkStart w:id="171" w:name="_5774ade34f4e975f6632052bc0ec88a4"/>
    <w:bookmarkEnd w:id="171"/>
    <w:bookmarkStart w:id="172" w:name="_5109d4aa21f39e81c1a798635f06cd9a"/>
    <w:bookmarkEnd w:id="172"/>
    <w:bookmarkStart w:id="173" w:name="_0c03afca1ecfd205b2a9fdbfce06749a"/>
    <w:bookmarkEnd w:id="173"/>
    <w:bookmarkStart w:id="174" w:name="_f54dbf421b124f53755b9861c1054d13"/>
    <w:bookmarkEnd w:id="174"/>
    <w:bookmarkStart w:id="175" w:name="_638119665f82c63330bdfe9dc8dfbb10"/>
    <w:bookmarkEnd w:id="175"/>
    <w:bookmarkStart w:id="176" w:name="_6eed8fbbf0431ca5574ac1d72accd605"/>
    <w:bookmarkEnd w:id="176"/>
    <w:bookmarkStart w:id="177" w:name="_d3a81399bb9d5cbf0b0148d462a72e59"/>
    <w:bookmarkEnd w:id="177"/>
    <w:bookmarkStart w:id="178" w:name="_95e8dc7809ce22ed22b338b4d07cf2fc"/>
    <w:bookmarkEnd w:id="178"/>
    <w:bookmarkStart w:id="179" w:name="_7902291c1e4084f2853a4b6b4e97debc"/>
    <w:bookmarkEnd w:id="179"/>
    <w:bookmarkStart w:id="180" w:name="_9c2f3c33cd4d292c25ccf79e1778e12f"/>
    <w:bookmarkEnd w:id="180"/>
    <w:bookmarkStart w:id="181" w:name="_a8cc666ca899ac0a29e6aca401d80e4b"/>
    <w:bookmarkEnd w:id="181"/>
    <w:bookmarkStart w:id="182" w:name="_d8c43d345b170a0a8d1d4a75cf46a33d"/>
    <w:bookmarkEnd w:id="182"/>
    <w:bookmarkStart w:id="183" w:name="_644843d3229b33fae47d63a43dc9e1e4"/>
    <w:bookmarkEnd w:id="183"/>
    <w:bookmarkStart w:id="184" w:name="_fcd12116d0b94b30643e2a2ca34ffdfe"/>
    <w:bookmarkEnd w:id="184"/>
    <w:bookmarkStart w:id="185" w:name="_a572ffd27944614e9902e93650a4f717"/>
    <w:bookmarkEnd w:id="185"/>
    <w:bookmarkStart w:id="186" w:name="_f9b1012afaad9fbb6471f5593e922716"/>
    <w:bookmarkEnd w:id="186"/>
    <w:bookmarkStart w:id="187" w:name="_bc390db675635068ba1d61f5dae7b2c9"/>
    <w:bookmarkEnd w:id="187"/>
    <w:bookmarkStart w:id="188" w:name="_3429373ba041463615975b497df94da2"/>
    <w:bookmarkEnd w:id="188"/>
    <w:bookmarkStart w:id="189" w:name="_f12e35425a5b0d549156eb445a63dc86"/>
    <w:bookmarkEnd w:id="189"/>
    <w:bookmarkStart w:id="190" w:name="_2bb34bbd255a7fa5b870caac79dbb3ea"/>
    <w:bookmarkEnd w:id="190"/>
    <w:bookmarkStart w:id="191" w:name="_c0ba86f6e13ffd490bea4333e32bb4f6"/>
    <w:bookmarkEnd w:id="191"/>
    <w:bookmarkStart w:id="192" w:name="_c0290e8022d905b83742480fcd2e6f85"/>
    <w:bookmarkEnd w:id="192"/>
    <w:bookmarkStart w:id="193" w:name="_5289ff2d5a11d42a43cb736006bc87f3"/>
    <w:bookmarkEnd w:id="193"/>
    <w:bookmarkStart w:id="194" w:name="_d047d0d5520f80abc4a505c67979b2a1"/>
    <w:bookmarkEnd w:id="194"/>
    <w:bookmarkStart w:id="195" w:name="_3fce31e6f27c651b2b82fd4ff9ec044a"/>
    <w:bookmarkEnd w:id="195"/>
    <w:bookmarkStart w:id="196" w:name="_811dd51184a37a410b750c337e7b9a4a"/>
    <w:bookmarkEnd w:id="196"/>
    <w:bookmarkStart w:id="197" w:name="_b4833b55f287777dc8cbd90e2a0419c2"/>
    <w:bookmarkEnd w:id="197"/>
    <w:bookmarkStart w:id="198" w:name="_fbc5986ae2b23e65140b80e86223d237"/>
    <w:bookmarkEnd w:id="198"/>
    <w:bookmarkStart w:id="199" w:name="_f35e2d57ee515b51da3dd47cec2bad00"/>
    <w:bookmarkEnd w:id="199"/>
    <w:bookmarkStart w:id="200" w:name="_4afc79560b533fe5c7a9793aa57b49da"/>
    <w:bookmarkEnd w:id="200"/>
    <w:bookmarkStart w:id="201" w:name="_15179a53c05a1de4a7312a1ce69a4d43"/>
    <w:bookmarkEnd w:id="201"/>
    <w:bookmarkStart w:id="202" w:name="_562bd5f446a5477f438412ec97841fc9"/>
    <w:bookmarkEnd w:id="202"/>
    <w:bookmarkStart w:id="203" w:name="_1756d3e4bda85fcab930e014fc1d6546"/>
    <w:bookmarkEnd w:id="203"/>
    <w:bookmarkStart w:id="204" w:name="_c453b6da1be68cbde803077d262b0bc2"/>
    <w:bookmarkEnd w:id="204"/>
    <w:bookmarkStart w:id="205" w:name="_6af6be46e7d65ba06a5e791bcbce045d"/>
    <w:bookmarkEnd w:id="205"/>
    <w:bookmarkStart w:id="206" w:name="_ceb0c1d4877d9a4a60b7468400b2f568"/>
    <w:bookmarkEnd w:id="206"/>
    <w:bookmarkStart w:id="207" w:name="_8d78a946ed77a4a7d1a261925efc7aa5"/>
    <w:bookmarkEnd w:id="207"/>
    <w:bookmarkStart w:id="208" w:name="_5b02e0c46ca023c2251b6c74e36a6b20"/>
    <w:bookmarkEnd w:id="208"/>
    <w:bookmarkStart w:id="209" w:name="_42a6046171d32f9bf36a1cfe574bbe93"/>
    <w:bookmarkEnd w:id="209"/>
    <w:bookmarkStart w:id="210" w:name="_f7ba6ddc4412828d7f4b828fae28c3a5"/>
    <w:bookmarkEnd w:id="210"/>
    <w:bookmarkStart w:id="211" w:name="_be042dc40946be2fe5c35320b07cac94"/>
    <w:bookmarkEnd w:id="211"/>
    <w:bookmarkStart w:id="212" w:name="_dacaf92f42ac1d9ef54426e9051d0ba3"/>
    <w:bookmarkEnd w:id="212"/>
    <w:bookmarkStart w:id="213" w:name="_a6a7c16eb9be1c7cdb98e2b3371fbacc"/>
    <w:bookmarkEnd w:id="213"/>
    <w:bookmarkStart w:id="214" w:name="_37ae821a72bec5136558482be0af4477"/>
    <w:bookmarkEnd w:id="214"/>
    <w:bookmarkStart w:id="215" w:name="_8742ad83025f265c08217ce35ebbbd7a"/>
    <w:bookmarkEnd w:id="215"/>
    <w:bookmarkStart w:id="216" w:name="_8b3776745014c9c7d892516a8159c45e"/>
    <w:bookmarkEnd w:id="216"/>
    <w:bookmarkStart w:id="217" w:name="_4a36fb1b2a4501f8e050cde138121d38"/>
    <w:bookmarkEnd w:id="217"/>
    <w:bookmarkStart w:id="218" w:name="_4deb64d4e9beb7ebeee55f4491302253"/>
    <w:bookmarkEnd w:id="218"/>
    <w:bookmarkStart w:id="219" w:name="_02be9f7d11c76adb47a403f24d03adb7"/>
    <w:bookmarkEnd w:id="219"/>
    <w:bookmarkStart w:id="220" w:name="_fc501c91df296848beb4e86d2e9d6ec6"/>
    <w:bookmarkEnd w:id="220"/>
    <w:bookmarkStart w:id="221" w:name="_15a6dc6c5ff487d7bf9fbf90fdef9e3b"/>
    <w:bookmarkEnd w:id="221"/>
    <w:bookmarkStart w:id="222" w:name="_412cfc58698d99da23ab40a8884f479d"/>
    <w:bookmarkEnd w:id="222"/>
    <w:bookmarkStart w:id="223" w:name="_da34a58472b8c10a5027034b148b72b6"/>
    <w:bookmarkEnd w:id="223"/>
    <w:bookmarkStart w:id="224" w:name="_7c9dcc702b6dcb278732cd9bc96f50ce"/>
    <w:bookmarkEnd w:id="224"/>
    <w:bookmarkStart w:id="225" w:name="_47c19f580a2aace42d3fc4fb823af45b"/>
    <w:bookmarkEnd w:id="225"/>
    <w:bookmarkStart w:id="226" w:name="_9be10a3cacc407c34c51f240f0e67051"/>
    <w:bookmarkEnd w:id="226"/>
    <w:bookmarkStart w:id="227" w:name="_e9f9329dddc064f8f3067306993135a5"/>
    <w:bookmarkEnd w:id="227"/>
    <w:bookmarkStart w:id="228" w:name="_395c365e79b41090e6989bffee79193a"/>
    <w:bookmarkEnd w:id="228"/>
    <w:p>
      <w:pPr>
        <w:pStyle w:val="Image"/>
        <w:ind w:leftChars="0" w:left="0" w:right="0"/>
      </w:pPr>
      <w:r>
        <w:rPr>
          <w:noProof/>
        </w:rPr>
        <w:drawing>
          <wp:inline xmlns:wp="http://schemas.openxmlformats.org/drawingml/2006/wordprocessingDrawing" distT="0" distB="0" distL="0" distR="0">
            <wp:extent cx="6456822" cy="2540000"/>
            <wp:effectExtent l="25400" t="0" r="0" b="0"/>
            <wp:docPr id="101" name="company.png" descr="_static/images/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ompany.png" descr="_static/images/company.png"/>
                    <pic:cNvPicPr>
                      <a:picLocks noChangeAspect="1" noChangeArrowheads="1"/>
                    </pic:cNvPicPr>
                  </pic:nvPicPr>
                  <pic:blipFill>
                    <a:blip xmlns:r="http://schemas.openxmlformats.org/officeDocument/2006/relationships" r:embed="rId17"/>
                    <a:srcRect/>
                    <a:stretch>
                      <a:fillRect/>
                    </a:stretch>
                  </pic:blipFill>
                  <pic:spPr bwMode="auto">
                    <a:xfrm>
                      <a:off x="0" y="0"/>
                      <a:ext cx="6456822" cy="2540000"/>
                    </a:xfrm>
                    <a:prstGeom prst="rect">
                      <a:avLst/>
                    </a:prstGeom>
                    <a:noFill/>
                  </pic:spPr>
                </pic:pic>
              </a:graphicData>
            </a:graphic>
          </wp:inline>
        </w:drawing>
      </w:r>
    </w:p>
    <w:p>
      <w:pPr>
        <w:pStyle w:val="rst-title"/>
        <w:ind w:leftChars="0" w:left="0" w:right="0"/>
      </w:pPr>
      <w:r>
        <w:t>Lente sul Bilancio</w:t>
      </w:r>
    </w:p>
    <w:p>
      <w:pPr>
        <w:pStyle w:val="rst-subtitle"/>
        <w:ind w:leftChars="0" w:left="0" w:right="0"/>
      </w:pPr>
      <w:r>
        <w:t>Pilot S.r.l.</w:t>
      </w:r>
    </w:p>
    <w:tbl>
      <w:tblPr>
        <w:tblStyle w:val="first-page-table"/>
        <w:tblW w:w="100.000000%" w:type="pct"/>
        <w:tblInd w:w="0" w:type="dxa"/>
        <w:tblLook w:noHBand="false" w:noVBand="false" w:lastRow="false" w:lastColumn="false" w:firstRow="false" w:firstColumn="false"/>
      </w:tblPr>
      <w:tblGrid>
        <w:gridCol w:w="5099"/>
        <w:gridCol w:w="5099"/>
      </w:tblGrid>
      <w:tr>
        <w:trPr>
          <w:cnfStyle w:evenHBand="false" w:oddHBand="true" w:firstRow="false"/>
          <w:cantSplit/>
        </w:trPr>
        <w:tc>
          <w:tcPr>
            <w:cnfStyle w:evenVBand="false" w:oddVBand="true" w:firstColumn="false"/>
            <w:tcW w:w="50.000000%" w:type="pct"/>
          </w:tcPr>
          <w:tbl>
            <w:tblPr>
              <w:tblStyle w:val="report-info-table"/>
              <w:tblW w:w="100.000000%" w:type="pct"/>
              <w:tblInd w:w="0" w:type="dxa"/>
              <w:tblLook w:noHBand="false" w:noVBand="false" w:lastRow="false" w:lastColumn="false" w:firstRow="false" w:firstColumn="false"/>
            </w:tblPr>
            <w:tblGrid>
              <w:gridCol w:w="1646"/>
              <w:gridCol w:w="3292"/>
            </w:tblGrid>
            <w:tr>
              <w:trPr>
                <w:cnfStyle w:evenHBand="false" w:oddHBand="true" w:firstRow="false"/>
                <w:cantSplit/>
              </w:trPr>
              <w:tc>
                <w:tcPr>
                  <w:cnfStyle w:evenVBand="false" w:oddVBand="true" w:firstColumn="false"/>
                  <w:tcW w:w="33.333333%" w:type="pct"/>
                </w:tcPr>
                <w:p>
                  <w:pPr>
                    <w:ind w:leftChars="0" w:left="0" w:right="0"/>
                    <w:keepNext/>
                  </w:pPr>
                  <w:r>
                    <w:rPr>
                      <w:b/>
                      <w:bCs/>
                    </w:rPr>
                    <w:t>Dal:</w:t>
                  </w:r>
                </w:p>
              </w:tc>
              <w:tc>
                <w:tcPr>
                  <w:cnfStyle w:evenVBand="true" w:oddVBand="false" w:firstColumn="false"/>
                  <w:tcW w:w="66.666667%" w:type="pct"/>
                </w:tcPr>
                <w:p>
                  <w:pPr>
                    <w:ind w:leftChars="0" w:left="0" w:right="0"/>
                    <w:keepNext/>
                  </w:pPr>
                  <w:r>
                    <w:t>31 dicembre 2017</w:t>
                  </w:r>
                </w:p>
              </w:tc>
            </w:tr>
            <w:tr>
              <w:trPr>
                <w:cnfStyle w:evenHBand="true" w:oddHBand="false" w:firstRow="false"/>
                <w:cantSplit/>
              </w:trPr>
              <w:tc>
                <w:tcPr>
                  <w:cnfStyle w:evenVBand="false" w:oddVBand="true" w:firstColumn="false"/>
                  <w:tcW w:w="33.333333%" w:type="pct"/>
                </w:tcPr>
                <w:p>
                  <w:pPr>
                    <w:ind w:leftChars="0" w:left="0" w:right="0"/>
                  </w:pPr>
                  <w:r>
                    <w:rPr>
                      <w:b/>
                      <w:bCs/>
                    </w:rPr>
                    <w:t>al:</w:t>
                  </w:r>
                </w:p>
              </w:tc>
              <w:tc>
                <w:tcPr>
                  <w:cnfStyle w:evenVBand="true" w:oddVBand="false" w:firstColumn="false"/>
                  <w:tcW w:w="66.666667%" w:type="pct"/>
                </w:tcPr>
                <w:p>
                  <w:pPr>
                    <w:ind w:leftChars="0" w:left="0" w:right="0"/>
                  </w:pPr>
                  <w:r>
                    <w:t>31 dicembre 2022</w:t>
                  </w:r>
                </w:p>
              </w:tc>
            </w:tr>
            <w:tr>
              <w:trPr>
                <w:cnfStyle w:evenHBand="false" w:oddHBand="true" w:firstRow="false"/>
                <w:cantSplit/>
              </w:trPr>
              <w:tc>
                <w:tcPr>
                  <w:cnfStyle w:evenVBand="false" w:oddVBand="true" w:firstColumn="false"/>
                  <w:tcW w:w="33.333333%" w:type="pct"/>
                </w:tcPr>
                <w:p>
                  <w:pPr>
                    <w:ind w:leftChars="0" w:left="0" w:right="0"/>
                  </w:pPr>
                  <w:r>
                    <w:rPr>
                      <w:b/>
                      <w:bCs/>
                    </w:rPr>
                    <w:t>elaborato il:</w:t>
                  </w:r>
                </w:p>
              </w:tc>
              <w:tc>
                <w:tcPr>
                  <w:cnfStyle w:evenVBand="true" w:oddVBand="false" w:firstColumn="false"/>
                  <w:tcW w:w="66.666667%" w:type="pct"/>
                </w:tcPr>
                <w:p>
                  <w:pPr>
                    <w:ind w:leftChars="0" w:left="0" w:right="0"/>
                  </w:pPr>
                  <w:r>
                    <w:t>22 novembre 2023</w:t>
                  </w:r>
                </w:p>
              </w:tc>
            </w:tr>
          </w:tbl>
          <w:p>
            <w:pPr>
              <w:pStyle w:val="TableBottomMargin"/>
            </w:pPr>
          </w:p>
        </w:tc>
        <w:tc>
          <w:tcPr>
            <w:cnfStyle w:evenVBand="true" w:oddVBand="false" w:firstColumn="false"/>
            <w:tcW w:w="50.000000%" w:type="pct"/>
          </w:tcPr>
          <w:p>
            <w:pPr>
              <w:pStyle w:val="Image"/>
              <w:ind w:leftChars="0" w:left="0" w:right="0"/>
              <w:keepNext/>
            </w:pPr>
            <w:r>
              <w:rPr>
                <w:noProof/>
              </w:rPr>
              <w:drawing>
                <wp:inline xmlns:wp="http://schemas.openxmlformats.org/drawingml/2006/wordprocessingDrawing" distT="0" distB="0" distL="0" distR="0">
                  <wp:extent cx="1779406" cy="1016000"/>
                  <wp:effectExtent l="25400" t="0" r="0" b="0"/>
                  <wp:docPr id="102" name="studio.png" descr="_static/images/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tudio.png" descr="_static/images/studio.png"/>
                          <pic:cNvPicPr>
                            <a:picLocks noChangeAspect="1" noChangeArrowheads="1"/>
                          </pic:cNvPicPr>
                        </pic:nvPicPr>
                        <pic:blipFill>
                          <a:blip xmlns:r="http://schemas.openxmlformats.org/officeDocument/2006/relationships" r:embed="rId18"/>
                          <a:srcRect/>
                          <a:stretch>
                            <a:fillRect/>
                          </a:stretch>
                        </pic:blipFill>
                        <pic:spPr bwMode="auto">
                          <a:xfrm>
                            <a:off x="0" y="0"/>
                            <a:ext cx="1779406" cy="1016000"/>
                          </a:xfrm>
                          <a:prstGeom prst="rect">
                            <a:avLst/>
                          </a:prstGeom>
                          <a:noFill/>
                        </pic:spPr>
                      </pic:pic>
                    </a:graphicData>
                  </a:graphic>
                </wp:inline>
              </w:drawing>
            </w:r>
          </w:p>
        </w:tc>
      </w:tr>
    </w:tbl>
    <w:p>
      <w:pPr>
        <w:pStyle w:val="TableBottomMargin"/>
      </w:pPr>
    </w:p>
    <w:bookmarkEnd w:id="3"/>
    <w:bookmarkStart w:id="229" w:name="_7df610feb813c849091ac7d6ce46a072"/>
    <w:br w:type="page"/>
    <w:bookmarkStart w:id="230" w:name="_64d60c3097b012b75d3b971c64838e05"/>
    <w:sdt>
      <w:sdtPr>
        <w:docPartObj>
          <w:docPartGallery w:val="Table of Contents"/>
          <w:docPartUnique/>
        </w:docPartObj>
      </w:sdtPr>
      <w:sdtContent>
        <w:p>
          <w:pPr>
            <w:pStyle w:val="TOCHeading"/>
            <w:pageBreakBefore w:val="1"/>
          </w:pPr>
          <w:r>
            <w:t>Indice</w:t>
          </w:r>
        </w:p>
        <w:p>
          <w:pPr>
            <w:pStyle w:val="TOC1"/>
            <w:tabs>
              <w:tab w:val="right" w:leader="dot" w:pos="10189"/>
            </w:tabs>
            <w:rPr>
              <w:b w:val="0"/>
              <w:noProof/>
            </w:rPr>
          </w:pPr>
          <w:r>
            <w:fldChar w:fldCharType="begin"/>
          </w:r>
          <w:r>
            <w:instrText xml:space="preserve"> TOC \o \b "_47fc556c5c34cf9f893658615bc64650" \h \z \u </w:instrText>
          </w:r>
          <w:r>
            <w:fldChar w:fldCharType="separate"/>
          </w:r>
          <w:hyperlink w:anchor="_e4d22122b6f76599093516648cb102c7" w:history="1">
            <w:r>
              <w:t>Disclaimer</w:t>
            </w:r>
            <w:r>
              <w:rPr>
                <w:webHidden/>
              </w:rPr>
              <w:tab/>
            </w:r>
            <w:r>
              <w:fldChar w:fldCharType="begin"/>
            </w:r>
            <w:r>
              <w:rPr>
                <w:webHidden/>
              </w:rPr>
              <w:instrText xml:space="preserve"> PAGEREF _e4d22122b6f76599093516648cb102c7 \h </w:instrText>
            </w:r>
            <w:r>
              <w:fldChar w:fldCharType="separate"/>
            </w:r>
            <w:r>
              <w:rPr>
                <w:webHidden/>
              </w:rPr>
              <w:t>X</w:t>
            </w:r>
            <w:r>
              <w:fldChar w:fldCharType="end"/>
            </w:r>
          </w:hyperlink>
        </w:p>
        <w:p>
          <w:pPr>
            <w:pStyle w:val="TOC1"/>
            <w:tabs>
              <w:tab w:val="right" w:leader="dot" w:pos="10189"/>
            </w:tabs>
            <w:rPr>
              <w:b w:val="0"/>
              <w:noProof/>
            </w:rPr>
          </w:pPr>
          <w:hyperlink w:anchor="_6bf8561eb40fdab492ba39588569590e" w:history="1">
            <w:r>
              <w:t>Sintesi al 31 dicembre 2022</w:t>
            </w:r>
            <w:r>
              <w:rPr>
                <w:webHidden/>
              </w:rPr>
              <w:tab/>
            </w:r>
            <w:r>
              <w:fldChar w:fldCharType="begin"/>
            </w:r>
            <w:r>
              <w:rPr>
                <w:webHidden/>
              </w:rPr>
              <w:instrText xml:space="preserve"> PAGEREF _6bf8561eb40fdab492ba39588569590e \h </w:instrText>
            </w:r>
            <w:r>
              <w:fldChar w:fldCharType="separate"/>
            </w:r>
            <w:r>
              <w:rPr>
                <w:webHidden/>
              </w:rPr>
              <w:t>X</w:t>
            </w:r>
            <w:r>
              <w:fldChar w:fldCharType="end"/>
            </w:r>
          </w:hyperlink>
        </w:p>
        <w:p>
          <w:pPr>
            <w:pStyle w:val="TOC1"/>
            <w:tabs>
              <w:tab w:val="right" w:leader="dot" w:pos="10189"/>
            </w:tabs>
            <w:rPr>
              <w:b w:val="0"/>
              <w:noProof/>
            </w:rPr>
          </w:pPr>
          <w:hyperlink w:anchor="_0182f955a1ffe9276ea59ee7f58d0cb6" w:history="1">
            <w:r>
              <w:t>Stato patrimoniale</w:t>
            </w:r>
            <w:r>
              <w:rPr>
                <w:webHidden/>
              </w:rPr>
              <w:tab/>
            </w:r>
            <w:r>
              <w:fldChar w:fldCharType="begin"/>
            </w:r>
            <w:r>
              <w:rPr>
                <w:webHidden/>
              </w:rPr>
              <w:instrText xml:space="preserve"> PAGEREF _0182f955a1ffe9276ea59ee7f58d0cb6 \h </w:instrText>
            </w:r>
            <w:r>
              <w:fldChar w:fldCharType="separate"/>
            </w:r>
            <w:r>
              <w:rPr>
                <w:webHidden/>
              </w:rPr>
              <w:t>X</w:t>
            </w:r>
            <w:r>
              <w:fldChar w:fldCharType="end"/>
            </w:r>
          </w:hyperlink>
        </w:p>
        <w:p>
          <w:pPr>
            <w:pStyle w:val="TOC2"/>
            <w:tabs>
              <w:tab w:val="right" w:leader="dot" w:pos="10189"/>
            </w:tabs>
            <w:rPr>
              <w:b w:val="0"/>
              <w:noProof/>
            </w:rPr>
          </w:pPr>
          <w:hyperlink w:anchor="_4790a10ffdebff84ea378be1df8e7e80" w:history="1">
            <w:r>
              <w:t>Capitale investito netto</w:t>
            </w:r>
            <w:r>
              <w:rPr>
                <w:webHidden/>
              </w:rPr>
              <w:tab/>
            </w:r>
            <w:r>
              <w:fldChar w:fldCharType="begin"/>
            </w:r>
            <w:r>
              <w:rPr>
                <w:webHidden/>
              </w:rPr>
              <w:instrText xml:space="preserve"> PAGEREF _4790a10ffdebff84ea378be1df8e7e80 \h </w:instrText>
            </w:r>
            <w:r>
              <w:fldChar w:fldCharType="separate"/>
            </w:r>
            <w:r>
              <w:rPr>
                <w:webHidden/>
              </w:rPr>
              <w:t>X</w:t>
            </w:r>
            <w:r>
              <w:fldChar w:fldCharType="end"/>
            </w:r>
          </w:hyperlink>
        </w:p>
        <w:p>
          <w:pPr>
            <w:pStyle w:val="TOC3"/>
            <w:tabs>
              <w:tab w:val="right" w:leader="dot" w:pos="10189"/>
            </w:tabs>
            <w:rPr>
              <w:b w:val="0"/>
              <w:noProof/>
            </w:rPr>
          </w:pPr>
          <w:hyperlink w:anchor="_16d0472836453c74f693b62631cdba97" w:history="1">
            <w:r>
              <w:t>Capitale circolante netto operativo</w:t>
            </w:r>
            <w:r>
              <w:rPr>
                <w:webHidden/>
              </w:rPr>
              <w:tab/>
            </w:r>
            <w:r>
              <w:fldChar w:fldCharType="begin"/>
            </w:r>
            <w:r>
              <w:rPr>
                <w:webHidden/>
              </w:rPr>
              <w:instrText xml:space="preserve"> PAGEREF _16d0472836453c74f693b62631cdba97 \h </w:instrText>
            </w:r>
            <w:r>
              <w:fldChar w:fldCharType="separate"/>
            </w:r>
            <w:r>
              <w:rPr>
                <w:webHidden/>
              </w:rPr>
              <w:t>X</w:t>
            </w:r>
            <w:r>
              <w:fldChar w:fldCharType="end"/>
            </w:r>
          </w:hyperlink>
        </w:p>
        <w:p>
          <w:pPr>
            <w:pStyle w:val="TOC4"/>
            <w:tabs>
              <w:tab w:val="right" w:leader="dot" w:pos="10189"/>
            </w:tabs>
            <w:rPr>
              <w:b w:val="0"/>
              <w:noProof/>
            </w:rPr>
          </w:pPr>
          <w:hyperlink w:anchor="_9fe6c65bf0a7b78f9d8f2bb267c719e8" w:history="1">
            <w:r>
              <w:t>Capitale circolante commerciale</w:t>
            </w:r>
            <w:r>
              <w:rPr>
                <w:webHidden/>
              </w:rPr>
              <w:tab/>
            </w:r>
            <w:r>
              <w:fldChar w:fldCharType="begin"/>
            </w:r>
            <w:r>
              <w:rPr>
                <w:webHidden/>
              </w:rPr>
              <w:instrText xml:space="preserve"> PAGEREF _9fe6c65bf0a7b78f9d8f2bb267c719e8 \h </w:instrText>
            </w:r>
            <w:r>
              <w:fldChar w:fldCharType="separate"/>
            </w:r>
            <w:r>
              <w:rPr>
                <w:webHidden/>
              </w:rPr>
              <w:t>X</w:t>
            </w:r>
            <w:r>
              <w:fldChar w:fldCharType="end"/>
            </w:r>
          </w:hyperlink>
        </w:p>
        <w:p>
          <w:pPr>
            <w:pStyle w:val="TOC5"/>
            <w:tabs>
              <w:tab w:val="right" w:leader="dot" w:pos="10189"/>
            </w:tabs>
            <w:rPr>
              <w:b w:val="0"/>
              <w:noProof/>
            </w:rPr>
          </w:pPr>
          <w:hyperlink w:anchor="_eae664c5f7fb7fb683f0c33a12d7a3c9" w:history="1">
            <w:r>
              <w:t>Rimanenze</w:t>
            </w:r>
            <w:r>
              <w:rPr>
                <w:webHidden/>
              </w:rPr>
              <w:tab/>
            </w:r>
            <w:r>
              <w:fldChar w:fldCharType="begin"/>
            </w:r>
            <w:r>
              <w:rPr>
                <w:webHidden/>
              </w:rPr>
              <w:instrText xml:space="preserve"> PAGEREF _eae664c5f7fb7fb683f0c33a12d7a3c9 \h </w:instrText>
            </w:r>
            <w:r>
              <w:fldChar w:fldCharType="separate"/>
            </w:r>
            <w:r>
              <w:rPr>
                <w:webHidden/>
              </w:rPr>
              <w:t>X</w:t>
            </w:r>
            <w:r>
              <w:fldChar w:fldCharType="end"/>
            </w:r>
          </w:hyperlink>
        </w:p>
        <w:p>
          <w:pPr>
            <w:pStyle w:val="TOC5"/>
            <w:tabs>
              <w:tab w:val="right" w:leader="dot" w:pos="10189"/>
            </w:tabs>
            <w:rPr>
              <w:b w:val="0"/>
              <w:noProof/>
            </w:rPr>
          </w:pPr>
          <w:hyperlink w:anchor="_861cefb2af76e89b0436d05563285383" w:history="1">
            <w:r>
              <w:t>Crediti commerciali</w:t>
            </w:r>
            <w:r>
              <w:rPr>
                <w:webHidden/>
              </w:rPr>
              <w:tab/>
            </w:r>
            <w:r>
              <w:fldChar w:fldCharType="begin"/>
            </w:r>
            <w:r>
              <w:rPr>
                <w:webHidden/>
              </w:rPr>
              <w:instrText xml:space="preserve"> PAGEREF _861cefb2af76e89b0436d05563285383 \h </w:instrText>
            </w:r>
            <w:r>
              <w:fldChar w:fldCharType="separate"/>
            </w:r>
            <w:r>
              <w:rPr>
                <w:webHidden/>
              </w:rPr>
              <w:t>X</w:t>
            </w:r>
            <w:r>
              <w:fldChar w:fldCharType="end"/>
            </w:r>
          </w:hyperlink>
        </w:p>
        <w:p>
          <w:pPr>
            <w:pStyle w:val="TOC5"/>
            <w:tabs>
              <w:tab w:val="right" w:leader="dot" w:pos="10189"/>
            </w:tabs>
            <w:rPr>
              <w:b w:val="0"/>
              <w:noProof/>
            </w:rPr>
          </w:pPr>
          <w:hyperlink w:anchor="_e1ee61b34a2aceedb1eb0d06317343ff" w:history="1">
            <w:r>
              <w:t>Debiti commerciali</w:t>
            </w:r>
            <w:r>
              <w:rPr>
                <w:webHidden/>
              </w:rPr>
              <w:tab/>
            </w:r>
            <w:r>
              <w:fldChar w:fldCharType="begin"/>
            </w:r>
            <w:r>
              <w:rPr>
                <w:webHidden/>
              </w:rPr>
              <w:instrText xml:space="preserve"> PAGEREF _e1ee61b34a2aceedb1eb0d06317343ff \h </w:instrText>
            </w:r>
            <w:r>
              <w:fldChar w:fldCharType="separate"/>
            </w:r>
            <w:r>
              <w:rPr>
                <w:webHidden/>
              </w:rPr>
              <w:t>X</w:t>
            </w:r>
            <w:r>
              <w:fldChar w:fldCharType="end"/>
            </w:r>
          </w:hyperlink>
        </w:p>
        <w:p>
          <w:pPr>
            <w:pStyle w:val="TOC4"/>
            <w:tabs>
              <w:tab w:val="right" w:leader="dot" w:pos="10189"/>
            </w:tabs>
            <w:rPr>
              <w:b w:val="0"/>
              <w:noProof/>
            </w:rPr>
          </w:pPr>
          <w:hyperlink w:anchor="_9d51e8e503978d3276c03f54ab25f0bd" w:history="1">
            <w:r>
              <w:t>Crediti e debiti verso imprese infragruppo</w:t>
            </w:r>
            <w:r>
              <w:rPr>
                <w:webHidden/>
              </w:rPr>
              <w:tab/>
            </w:r>
            <w:r>
              <w:fldChar w:fldCharType="begin"/>
            </w:r>
            <w:r>
              <w:rPr>
                <w:webHidden/>
              </w:rPr>
              <w:instrText xml:space="preserve"> PAGEREF _9d51e8e503978d3276c03f54ab25f0bd \h </w:instrText>
            </w:r>
            <w:r>
              <w:fldChar w:fldCharType="separate"/>
            </w:r>
            <w:r>
              <w:rPr>
                <w:webHidden/>
              </w:rPr>
              <w:t>X</w:t>
            </w:r>
            <w:r>
              <w:fldChar w:fldCharType="end"/>
            </w:r>
          </w:hyperlink>
        </w:p>
        <w:p>
          <w:pPr>
            <w:pStyle w:val="TOC5"/>
            <w:tabs>
              <w:tab w:val="right" w:leader="dot" w:pos="10189"/>
            </w:tabs>
            <w:rPr>
              <w:b w:val="0"/>
              <w:noProof/>
            </w:rPr>
          </w:pPr>
          <w:hyperlink w:anchor="_d8eb1286672b18d0304603d95007fe2a" w:history="1">
            <w:r>
              <w:t>Crediti verso imprese infragruppo</w:t>
            </w:r>
            <w:r>
              <w:rPr>
                <w:webHidden/>
              </w:rPr>
              <w:tab/>
            </w:r>
            <w:r>
              <w:fldChar w:fldCharType="begin"/>
            </w:r>
            <w:r>
              <w:rPr>
                <w:webHidden/>
              </w:rPr>
              <w:instrText xml:space="preserve"> PAGEREF _d8eb1286672b18d0304603d95007fe2a \h </w:instrText>
            </w:r>
            <w:r>
              <w:fldChar w:fldCharType="separate"/>
            </w:r>
            <w:r>
              <w:rPr>
                <w:webHidden/>
              </w:rPr>
              <w:t>X</w:t>
            </w:r>
            <w:r>
              <w:fldChar w:fldCharType="end"/>
            </w:r>
          </w:hyperlink>
        </w:p>
        <w:p>
          <w:pPr>
            <w:pStyle w:val="TOC5"/>
            <w:tabs>
              <w:tab w:val="right" w:leader="dot" w:pos="10189"/>
            </w:tabs>
            <w:rPr>
              <w:b w:val="0"/>
              <w:noProof/>
            </w:rPr>
          </w:pPr>
          <w:hyperlink w:anchor="_c8cbabed736b3247c692d2ca8d14e7a9" w:history="1">
            <w:r>
              <w:t>Debiti verso imprese infragruppo</w:t>
            </w:r>
            <w:r>
              <w:rPr>
                <w:webHidden/>
              </w:rPr>
              <w:tab/>
            </w:r>
            <w:r>
              <w:fldChar w:fldCharType="begin"/>
            </w:r>
            <w:r>
              <w:rPr>
                <w:webHidden/>
              </w:rPr>
              <w:instrText xml:space="preserve"> PAGEREF _c8cbabed736b3247c692d2ca8d14e7a9 \h </w:instrText>
            </w:r>
            <w:r>
              <w:fldChar w:fldCharType="separate"/>
            </w:r>
            <w:r>
              <w:rPr>
                <w:webHidden/>
              </w:rPr>
              <w:t>X</w:t>
            </w:r>
            <w:r>
              <w:fldChar w:fldCharType="end"/>
            </w:r>
          </w:hyperlink>
        </w:p>
        <w:p>
          <w:pPr>
            <w:pStyle w:val="TOC4"/>
            <w:tabs>
              <w:tab w:val="right" w:leader="dot" w:pos="10189"/>
            </w:tabs>
            <w:rPr>
              <w:b w:val="0"/>
              <w:noProof/>
            </w:rPr>
          </w:pPr>
          <w:hyperlink w:anchor="_02695c4ef1d469cb6d9808909dcc6cda" w:history="1">
            <w:r>
              <w:t>Crediti e debiti tributari</w:t>
            </w:r>
            <w:r>
              <w:rPr>
                <w:webHidden/>
              </w:rPr>
              <w:tab/>
            </w:r>
            <w:r>
              <w:fldChar w:fldCharType="begin"/>
            </w:r>
            <w:r>
              <w:rPr>
                <w:webHidden/>
              </w:rPr>
              <w:instrText xml:space="preserve"> PAGEREF _02695c4ef1d469cb6d9808909dcc6cda \h </w:instrText>
            </w:r>
            <w:r>
              <w:fldChar w:fldCharType="separate"/>
            </w:r>
            <w:r>
              <w:rPr>
                <w:webHidden/>
              </w:rPr>
              <w:t>X</w:t>
            </w:r>
            <w:r>
              <w:fldChar w:fldCharType="end"/>
            </w:r>
          </w:hyperlink>
        </w:p>
        <w:p>
          <w:pPr>
            <w:pStyle w:val="TOC5"/>
            <w:tabs>
              <w:tab w:val="right" w:leader="dot" w:pos="10189"/>
            </w:tabs>
            <w:rPr>
              <w:b w:val="0"/>
              <w:noProof/>
            </w:rPr>
          </w:pPr>
          <w:hyperlink w:anchor="_7a72fb2831586b80daedd6147465a0bf" w:history="1">
            <w:r>
              <w:t>Crediti e debiti IRES</w:t>
            </w:r>
            <w:r>
              <w:rPr>
                <w:webHidden/>
              </w:rPr>
              <w:tab/>
            </w:r>
            <w:r>
              <w:fldChar w:fldCharType="begin"/>
            </w:r>
            <w:r>
              <w:rPr>
                <w:webHidden/>
              </w:rPr>
              <w:instrText xml:space="preserve"> PAGEREF _7a72fb2831586b80daedd6147465a0bf \h </w:instrText>
            </w:r>
            <w:r>
              <w:fldChar w:fldCharType="separate"/>
            </w:r>
            <w:r>
              <w:rPr>
                <w:webHidden/>
              </w:rPr>
              <w:t>X</w:t>
            </w:r>
            <w:r>
              <w:fldChar w:fldCharType="end"/>
            </w:r>
          </w:hyperlink>
        </w:p>
        <w:p>
          <w:pPr>
            <w:pStyle w:val="TOC5"/>
            <w:tabs>
              <w:tab w:val="right" w:leader="dot" w:pos="10189"/>
            </w:tabs>
            <w:rPr>
              <w:b w:val="0"/>
              <w:noProof/>
            </w:rPr>
          </w:pPr>
          <w:hyperlink w:anchor="_d2ddec10d17891ec0cfa1433c0c84123" w:history="1">
            <w:r>
              <w:t>Crediti e debiti IRAP</w:t>
            </w:r>
            <w:r>
              <w:rPr>
                <w:webHidden/>
              </w:rPr>
              <w:tab/>
            </w:r>
            <w:r>
              <w:fldChar w:fldCharType="begin"/>
            </w:r>
            <w:r>
              <w:rPr>
                <w:webHidden/>
              </w:rPr>
              <w:instrText xml:space="preserve"> PAGEREF _d2ddec10d17891ec0cfa1433c0c84123 \h </w:instrText>
            </w:r>
            <w:r>
              <w:fldChar w:fldCharType="separate"/>
            </w:r>
            <w:r>
              <w:rPr>
                <w:webHidden/>
              </w:rPr>
              <w:t>X</w:t>
            </w:r>
            <w:r>
              <w:fldChar w:fldCharType="end"/>
            </w:r>
          </w:hyperlink>
        </w:p>
        <w:p>
          <w:pPr>
            <w:pStyle w:val="TOC5"/>
            <w:tabs>
              <w:tab w:val="right" w:leader="dot" w:pos="10189"/>
            </w:tabs>
            <w:rPr>
              <w:b w:val="0"/>
              <w:noProof/>
            </w:rPr>
          </w:pPr>
          <w:hyperlink w:anchor="_20c4abcff27264842a7f02f8b5f9bf8e" w:history="1">
            <w:r>
              <w:t>Crediti e debiti IVA</w:t>
            </w:r>
            <w:r>
              <w:rPr>
                <w:webHidden/>
              </w:rPr>
              <w:tab/>
            </w:r>
            <w:r>
              <w:fldChar w:fldCharType="begin"/>
            </w:r>
            <w:r>
              <w:rPr>
                <w:webHidden/>
              </w:rPr>
              <w:instrText xml:space="preserve"> PAGEREF _20c4abcff27264842a7f02f8b5f9bf8e \h </w:instrText>
            </w:r>
            <w:r>
              <w:fldChar w:fldCharType="separate"/>
            </w:r>
            <w:r>
              <w:rPr>
                <w:webHidden/>
              </w:rPr>
              <w:t>X</w:t>
            </w:r>
            <w:r>
              <w:fldChar w:fldCharType="end"/>
            </w:r>
          </w:hyperlink>
        </w:p>
        <w:p>
          <w:pPr>
            <w:pStyle w:val="TOC5"/>
            <w:tabs>
              <w:tab w:val="right" w:leader="dot" w:pos="10189"/>
            </w:tabs>
            <w:rPr>
              <w:b w:val="0"/>
              <w:noProof/>
            </w:rPr>
          </w:pPr>
          <w:hyperlink w:anchor="_f2cd561f5dec0e54a06662f3c4dbe56c" w:history="1">
            <w:r>
              <w:t>Crediti per imposte anticipate e altre imposte</w:t>
            </w:r>
            <w:r>
              <w:rPr>
                <w:webHidden/>
              </w:rPr>
              <w:tab/>
            </w:r>
            <w:r>
              <w:fldChar w:fldCharType="begin"/>
            </w:r>
            <w:r>
              <w:rPr>
                <w:webHidden/>
              </w:rPr>
              <w:instrText xml:space="preserve"> PAGEREF _f2cd561f5dec0e54a06662f3c4dbe56c \h </w:instrText>
            </w:r>
            <w:r>
              <w:fldChar w:fldCharType="separate"/>
            </w:r>
            <w:r>
              <w:rPr>
                <w:webHidden/>
              </w:rPr>
              <w:t>X</w:t>
            </w:r>
            <w:r>
              <w:fldChar w:fldCharType="end"/>
            </w:r>
          </w:hyperlink>
        </w:p>
        <w:p>
          <w:pPr>
            <w:pStyle w:val="TOC4"/>
            <w:tabs>
              <w:tab w:val="right" w:leader="dot" w:pos="10189"/>
            </w:tabs>
            <w:rPr>
              <w:b w:val="0"/>
              <w:noProof/>
            </w:rPr>
          </w:pPr>
          <w:hyperlink w:anchor="_9017751d3f811186a4bca797ffcc2163" w:history="1">
            <w:r>
              <w:t>Crediti e debiti verso altri</w:t>
            </w:r>
            <w:r>
              <w:rPr>
                <w:webHidden/>
              </w:rPr>
              <w:tab/>
            </w:r>
            <w:r>
              <w:fldChar w:fldCharType="begin"/>
            </w:r>
            <w:r>
              <w:rPr>
                <w:webHidden/>
              </w:rPr>
              <w:instrText xml:space="preserve"> PAGEREF _9017751d3f811186a4bca797ffcc2163 \h </w:instrText>
            </w:r>
            <w:r>
              <w:fldChar w:fldCharType="separate"/>
            </w:r>
            <w:r>
              <w:rPr>
                <w:webHidden/>
              </w:rPr>
              <w:t>X</w:t>
            </w:r>
            <w:r>
              <w:fldChar w:fldCharType="end"/>
            </w:r>
          </w:hyperlink>
        </w:p>
        <w:p>
          <w:pPr>
            <w:pStyle w:val="TOC4"/>
            <w:tabs>
              <w:tab w:val="right" w:leader="dot" w:pos="10189"/>
            </w:tabs>
            <w:rPr>
              <w:b w:val="0"/>
              <w:noProof/>
            </w:rPr>
          </w:pPr>
          <w:hyperlink w:anchor="_598b732b9479ef2be9c6f2a0f1d031ab" w:history="1">
            <w:r>
              <w:t>Ratei e risconti netti</w:t>
            </w:r>
            <w:r>
              <w:rPr>
                <w:webHidden/>
              </w:rPr>
              <w:tab/>
            </w:r>
            <w:r>
              <w:fldChar w:fldCharType="begin"/>
            </w:r>
            <w:r>
              <w:rPr>
                <w:webHidden/>
              </w:rPr>
              <w:instrText xml:space="preserve"> PAGEREF _598b732b9479ef2be9c6f2a0f1d031ab \h </w:instrText>
            </w:r>
            <w:r>
              <w:fldChar w:fldCharType="separate"/>
            </w:r>
            <w:r>
              <w:rPr>
                <w:webHidden/>
              </w:rPr>
              <w:t>X</w:t>
            </w:r>
            <w:r>
              <w:fldChar w:fldCharType="end"/>
            </w:r>
          </w:hyperlink>
        </w:p>
        <w:p>
          <w:pPr>
            <w:pStyle w:val="TOC3"/>
            <w:tabs>
              <w:tab w:val="right" w:leader="dot" w:pos="10189"/>
            </w:tabs>
            <w:rPr>
              <w:b w:val="0"/>
              <w:noProof/>
            </w:rPr>
          </w:pPr>
          <w:hyperlink w:anchor="_6cc67aa82e9a59148d794b965948316c" w:history="1">
            <w:r>
              <w:t>Attivo fisso netto</w:t>
            </w:r>
            <w:r>
              <w:rPr>
                <w:webHidden/>
              </w:rPr>
              <w:tab/>
            </w:r>
            <w:r>
              <w:fldChar w:fldCharType="begin"/>
            </w:r>
            <w:r>
              <w:rPr>
                <w:webHidden/>
              </w:rPr>
              <w:instrText xml:space="preserve"> PAGEREF _6cc67aa82e9a59148d794b965948316c \h </w:instrText>
            </w:r>
            <w:r>
              <w:fldChar w:fldCharType="separate"/>
            </w:r>
            <w:r>
              <w:rPr>
                <w:webHidden/>
              </w:rPr>
              <w:t>X</w:t>
            </w:r>
            <w:r>
              <w:fldChar w:fldCharType="end"/>
            </w:r>
          </w:hyperlink>
        </w:p>
        <w:p>
          <w:pPr>
            <w:pStyle w:val="TOC4"/>
            <w:tabs>
              <w:tab w:val="right" w:leader="dot" w:pos="10189"/>
            </w:tabs>
            <w:rPr>
              <w:b w:val="0"/>
              <w:noProof/>
            </w:rPr>
          </w:pPr>
          <w:hyperlink w:anchor="_66a29ab24fcf5c5f1f32701f090c67df" w:history="1">
            <w:r>
              <w:t>Crediti verso soci per versamenti ancora dovuti</w:t>
            </w:r>
            <w:r>
              <w:rPr>
                <w:webHidden/>
              </w:rPr>
              <w:tab/>
            </w:r>
            <w:r>
              <w:fldChar w:fldCharType="begin"/>
            </w:r>
            <w:r>
              <w:rPr>
                <w:webHidden/>
              </w:rPr>
              <w:instrText xml:space="preserve"> PAGEREF _66a29ab24fcf5c5f1f32701f090c67df \h </w:instrText>
            </w:r>
            <w:r>
              <w:fldChar w:fldCharType="separate"/>
            </w:r>
            <w:r>
              <w:rPr>
                <w:webHidden/>
              </w:rPr>
              <w:t>X</w:t>
            </w:r>
            <w:r>
              <w:fldChar w:fldCharType="end"/>
            </w:r>
          </w:hyperlink>
        </w:p>
        <w:p>
          <w:pPr>
            <w:pStyle w:val="TOC4"/>
            <w:tabs>
              <w:tab w:val="right" w:leader="dot" w:pos="10189"/>
            </w:tabs>
            <w:rPr>
              <w:b w:val="0"/>
              <w:noProof/>
            </w:rPr>
          </w:pPr>
          <w:hyperlink w:anchor="_a00cd79fd481e4bb1e3dd86fb9aa13bd" w:history="1">
            <w:r>
              <w:t>Immobilizzazioni immateriali</w:t>
            </w:r>
            <w:r>
              <w:rPr>
                <w:webHidden/>
              </w:rPr>
              <w:tab/>
            </w:r>
            <w:r>
              <w:fldChar w:fldCharType="begin"/>
            </w:r>
            <w:r>
              <w:rPr>
                <w:webHidden/>
              </w:rPr>
              <w:instrText xml:space="preserve"> PAGEREF _a00cd79fd481e4bb1e3dd86fb9aa13bd \h </w:instrText>
            </w:r>
            <w:r>
              <w:fldChar w:fldCharType="separate"/>
            </w:r>
            <w:r>
              <w:rPr>
                <w:webHidden/>
              </w:rPr>
              <w:t>X</w:t>
            </w:r>
            <w:r>
              <w:fldChar w:fldCharType="end"/>
            </w:r>
          </w:hyperlink>
        </w:p>
        <w:p>
          <w:pPr>
            <w:pStyle w:val="TOC4"/>
            <w:tabs>
              <w:tab w:val="right" w:leader="dot" w:pos="10189"/>
            </w:tabs>
            <w:rPr>
              <w:b w:val="0"/>
              <w:noProof/>
            </w:rPr>
          </w:pPr>
          <w:hyperlink w:anchor="_011174f4fd1a25b03ddfa5a345e03b3e" w:history="1">
            <w:r>
              <w:t>Immobilizzazioni materiali</w:t>
            </w:r>
            <w:r>
              <w:rPr>
                <w:webHidden/>
              </w:rPr>
              <w:tab/>
            </w:r>
            <w:r>
              <w:fldChar w:fldCharType="begin"/>
            </w:r>
            <w:r>
              <w:rPr>
                <w:webHidden/>
              </w:rPr>
              <w:instrText xml:space="preserve"> PAGEREF _011174f4fd1a25b03ddfa5a345e03b3e \h </w:instrText>
            </w:r>
            <w:r>
              <w:fldChar w:fldCharType="separate"/>
            </w:r>
            <w:r>
              <w:rPr>
                <w:webHidden/>
              </w:rPr>
              <w:t>X</w:t>
            </w:r>
            <w:r>
              <w:fldChar w:fldCharType="end"/>
            </w:r>
          </w:hyperlink>
        </w:p>
        <w:p>
          <w:pPr>
            <w:pStyle w:val="TOC4"/>
            <w:tabs>
              <w:tab w:val="right" w:leader="dot" w:pos="10189"/>
            </w:tabs>
            <w:rPr>
              <w:b w:val="0"/>
              <w:noProof/>
            </w:rPr>
          </w:pPr>
          <w:hyperlink w:anchor="_e65392467922829b84af16f8992f6237" w:history="1">
            <w:r>
              <w:t>Immobilizzazioni finanziarie</w:t>
            </w:r>
            <w:r>
              <w:rPr>
                <w:webHidden/>
              </w:rPr>
              <w:tab/>
            </w:r>
            <w:r>
              <w:fldChar w:fldCharType="begin"/>
            </w:r>
            <w:r>
              <w:rPr>
                <w:webHidden/>
              </w:rPr>
              <w:instrText xml:space="preserve"> PAGEREF _e65392467922829b84af16f8992f6237 \h </w:instrText>
            </w:r>
            <w:r>
              <w:fldChar w:fldCharType="separate"/>
            </w:r>
            <w:r>
              <w:rPr>
                <w:webHidden/>
              </w:rPr>
              <w:t>X</w:t>
            </w:r>
            <w:r>
              <w:fldChar w:fldCharType="end"/>
            </w:r>
          </w:hyperlink>
        </w:p>
        <w:p>
          <w:pPr>
            <w:pStyle w:val="TOC4"/>
            <w:tabs>
              <w:tab w:val="right" w:leader="dot" w:pos="10189"/>
            </w:tabs>
            <w:rPr>
              <w:b w:val="0"/>
              <w:noProof/>
            </w:rPr>
          </w:pPr>
          <w:hyperlink w:anchor="_958e61f8ce800f00b092635bf8a60f4e" w:history="1">
            <w:r>
              <w:t>Fondi rischi e oneri e Fondo TFR</w:t>
            </w:r>
            <w:r>
              <w:rPr>
                <w:webHidden/>
              </w:rPr>
              <w:tab/>
            </w:r>
            <w:r>
              <w:fldChar w:fldCharType="begin"/>
            </w:r>
            <w:r>
              <w:rPr>
                <w:webHidden/>
              </w:rPr>
              <w:instrText xml:space="preserve"> PAGEREF _958e61f8ce800f00b092635bf8a60f4e \h </w:instrText>
            </w:r>
            <w:r>
              <w:fldChar w:fldCharType="separate"/>
            </w:r>
            <w:r>
              <w:rPr>
                <w:webHidden/>
              </w:rPr>
              <w:t>X</w:t>
            </w:r>
            <w:r>
              <w:fldChar w:fldCharType="end"/>
            </w:r>
          </w:hyperlink>
        </w:p>
        <w:p>
          <w:pPr>
            <w:pStyle w:val="TOC2"/>
            <w:tabs>
              <w:tab w:val="right" w:leader="dot" w:pos="10189"/>
            </w:tabs>
            <w:rPr>
              <w:b w:val="0"/>
              <w:noProof/>
            </w:rPr>
          </w:pPr>
          <w:hyperlink w:anchor="_c1f306dc072361d2c0dd5df6090da952" w:history="1">
            <w:r>
              <w:t>Fonti di finanziamento</w:t>
            </w:r>
            <w:r>
              <w:rPr>
                <w:webHidden/>
              </w:rPr>
              <w:tab/>
            </w:r>
            <w:r>
              <w:fldChar w:fldCharType="begin"/>
            </w:r>
            <w:r>
              <w:rPr>
                <w:webHidden/>
              </w:rPr>
              <w:instrText xml:space="preserve"> PAGEREF _c1f306dc072361d2c0dd5df6090da952 \h </w:instrText>
            </w:r>
            <w:r>
              <w:fldChar w:fldCharType="separate"/>
            </w:r>
            <w:r>
              <w:rPr>
                <w:webHidden/>
              </w:rPr>
              <w:t>X</w:t>
            </w:r>
            <w:r>
              <w:fldChar w:fldCharType="end"/>
            </w:r>
          </w:hyperlink>
        </w:p>
        <w:p>
          <w:pPr>
            <w:pStyle w:val="TOC3"/>
            <w:tabs>
              <w:tab w:val="right" w:leader="dot" w:pos="10189"/>
            </w:tabs>
            <w:rPr>
              <w:b w:val="0"/>
              <w:noProof/>
            </w:rPr>
          </w:pPr>
          <w:hyperlink w:anchor="_bf6e70b47ec35120fcd110196b17945f" w:history="1">
            <w:r>
              <w:t>Posizione finanziaria netta</w:t>
            </w:r>
            <w:r>
              <w:rPr>
                <w:webHidden/>
              </w:rPr>
              <w:tab/>
            </w:r>
            <w:r>
              <w:fldChar w:fldCharType="begin"/>
            </w:r>
            <w:r>
              <w:rPr>
                <w:webHidden/>
              </w:rPr>
              <w:instrText xml:space="preserve"> PAGEREF _bf6e70b47ec35120fcd110196b17945f \h </w:instrText>
            </w:r>
            <w:r>
              <w:fldChar w:fldCharType="separate"/>
            </w:r>
            <w:r>
              <w:rPr>
                <w:webHidden/>
              </w:rPr>
              <w:t>X</w:t>
            </w:r>
            <w:r>
              <w:fldChar w:fldCharType="end"/>
            </w:r>
          </w:hyperlink>
        </w:p>
        <w:p>
          <w:pPr>
            <w:pStyle w:val="TOC4"/>
            <w:tabs>
              <w:tab w:val="right" w:leader="dot" w:pos="10189"/>
            </w:tabs>
            <w:rPr>
              <w:b w:val="0"/>
              <w:noProof/>
            </w:rPr>
          </w:pPr>
          <w:hyperlink w:anchor="_acd83f53f4ce1af34a0ece57770c2f6f" w:history="1">
            <w:r>
              <w:t>Debiti finanziari</w:t>
            </w:r>
            <w:r>
              <w:rPr>
                <w:webHidden/>
              </w:rPr>
              <w:tab/>
            </w:r>
            <w:r>
              <w:fldChar w:fldCharType="begin"/>
            </w:r>
            <w:r>
              <w:rPr>
                <w:webHidden/>
              </w:rPr>
              <w:instrText xml:space="preserve"> PAGEREF _acd83f53f4ce1af34a0ece57770c2f6f \h </w:instrText>
            </w:r>
            <w:r>
              <w:fldChar w:fldCharType="separate"/>
            </w:r>
            <w:r>
              <w:rPr>
                <w:webHidden/>
              </w:rPr>
              <w:t>X</w:t>
            </w:r>
            <w:r>
              <w:fldChar w:fldCharType="end"/>
            </w:r>
          </w:hyperlink>
        </w:p>
        <w:p>
          <w:pPr>
            <w:pStyle w:val="TOC5"/>
            <w:tabs>
              <w:tab w:val="right" w:leader="dot" w:pos="10189"/>
            </w:tabs>
            <w:rPr>
              <w:b w:val="0"/>
              <w:noProof/>
            </w:rPr>
          </w:pPr>
          <w:hyperlink w:anchor="_545a107e7b8ff89bd88bee42304d94cf" w:history="1">
            <w:r>
              <w:t>Obbligazioni</w:t>
            </w:r>
            <w:r>
              <w:rPr>
                <w:webHidden/>
              </w:rPr>
              <w:tab/>
            </w:r>
            <w:r>
              <w:fldChar w:fldCharType="begin"/>
            </w:r>
            <w:r>
              <w:rPr>
                <w:webHidden/>
              </w:rPr>
              <w:instrText xml:space="preserve"> PAGEREF _545a107e7b8ff89bd88bee42304d94cf \h </w:instrText>
            </w:r>
            <w:r>
              <w:fldChar w:fldCharType="separate"/>
            </w:r>
            <w:r>
              <w:rPr>
                <w:webHidden/>
              </w:rPr>
              <w:t>X</w:t>
            </w:r>
            <w:r>
              <w:fldChar w:fldCharType="end"/>
            </w:r>
          </w:hyperlink>
        </w:p>
        <w:p>
          <w:pPr>
            <w:pStyle w:val="TOC5"/>
            <w:tabs>
              <w:tab w:val="right" w:leader="dot" w:pos="10189"/>
            </w:tabs>
            <w:rPr>
              <w:b w:val="0"/>
              <w:noProof/>
            </w:rPr>
          </w:pPr>
          <w:hyperlink w:anchor="_4892452de204f51578ca2f1f7e48ae4c" w:history="1">
            <w:r>
              <w:t>Debiti verso banche</w:t>
            </w:r>
            <w:r>
              <w:rPr>
                <w:webHidden/>
              </w:rPr>
              <w:tab/>
            </w:r>
            <w:r>
              <w:fldChar w:fldCharType="begin"/>
            </w:r>
            <w:r>
              <w:rPr>
                <w:webHidden/>
              </w:rPr>
              <w:instrText xml:space="preserve"> PAGEREF _4892452de204f51578ca2f1f7e48ae4c \h </w:instrText>
            </w:r>
            <w:r>
              <w:fldChar w:fldCharType="separate"/>
            </w:r>
            <w:r>
              <w:rPr>
                <w:webHidden/>
              </w:rPr>
              <w:t>X</w:t>
            </w:r>
            <w:r>
              <w:fldChar w:fldCharType="end"/>
            </w:r>
          </w:hyperlink>
        </w:p>
        <w:p>
          <w:pPr>
            <w:pStyle w:val="TOC5"/>
            <w:tabs>
              <w:tab w:val="right" w:leader="dot" w:pos="10189"/>
            </w:tabs>
            <w:rPr>
              <w:b w:val="0"/>
              <w:noProof/>
            </w:rPr>
          </w:pPr>
          <w:hyperlink w:anchor="_3f2cf812894dbf5d25a5b8c2ef825160" w:history="1">
            <w:r>
              <w:t>Debiti finanziari v/altri</w:t>
            </w:r>
            <w:r>
              <w:rPr>
                <w:webHidden/>
              </w:rPr>
              <w:tab/>
            </w:r>
            <w:r>
              <w:fldChar w:fldCharType="begin"/>
            </w:r>
            <w:r>
              <w:rPr>
                <w:webHidden/>
              </w:rPr>
              <w:instrText xml:space="preserve"> PAGEREF _3f2cf812894dbf5d25a5b8c2ef825160 \h </w:instrText>
            </w:r>
            <w:r>
              <w:fldChar w:fldCharType="separate"/>
            </w:r>
            <w:r>
              <w:rPr>
                <w:webHidden/>
              </w:rPr>
              <w:t>X</w:t>
            </w:r>
            <w:r>
              <w:fldChar w:fldCharType="end"/>
            </w:r>
          </w:hyperlink>
        </w:p>
        <w:p>
          <w:pPr>
            <w:pStyle w:val="TOC4"/>
            <w:tabs>
              <w:tab w:val="right" w:leader="dot" w:pos="10189"/>
            </w:tabs>
            <w:rPr>
              <w:b w:val="0"/>
              <w:noProof/>
            </w:rPr>
          </w:pPr>
          <w:hyperlink w:anchor="_f29f1322106d8ba3a4ea8fa4fa8740f6" w:history="1">
            <w:r>
              <w:t>Debiti verso soci per finanziamenti infruttiferi</w:t>
            </w:r>
            <w:r>
              <w:rPr>
                <w:webHidden/>
              </w:rPr>
              <w:tab/>
            </w:r>
            <w:r>
              <w:fldChar w:fldCharType="begin"/>
            </w:r>
            <w:r>
              <w:rPr>
                <w:webHidden/>
              </w:rPr>
              <w:instrText xml:space="preserve"> PAGEREF _f29f1322106d8ba3a4ea8fa4fa8740f6 \h </w:instrText>
            </w:r>
            <w:r>
              <w:fldChar w:fldCharType="separate"/>
            </w:r>
            <w:r>
              <w:rPr>
                <w:webHidden/>
              </w:rPr>
              <w:t>X</w:t>
            </w:r>
            <w:r>
              <w:fldChar w:fldCharType="end"/>
            </w:r>
          </w:hyperlink>
        </w:p>
        <w:p>
          <w:pPr>
            <w:pStyle w:val="TOC4"/>
            <w:tabs>
              <w:tab w:val="right" w:leader="dot" w:pos="10189"/>
            </w:tabs>
            <w:rPr>
              <w:b w:val="0"/>
              <w:noProof/>
            </w:rPr>
          </w:pPr>
          <w:hyperlink w:anchor="_3c33259345bb29138f9014feca56bb4e" w:history="1">
            <w:r>
              <w:t>Attivo finanziario corrente</w:t>
            </w:r>
            <w:r>
              <w:rPr>
                <w:webHidden/>
              </w:rPr>
              <w:tab/>
            </w:r>
            <w:r>
              <w:fldChar w:fldCharType="begin"/>
            </w:r>
            <w:r>
              <w:rPr>
                <w:webHidden/>
              </w:rPr>
              <w:instrText xml:space="preserve"> PAGEREF _3c33259345bb29138f9014feca56bb4e \h </w:instrText>
            </w:r>
            <w:r>
              <w:fldChar w:fldCharType="separate"/>
            </w:r>
            <w:r>
              <w:rPr>
                <w:webHidden/>
              </w:rPr>
              <w:t>X</w:t>
            </w:r>
            <w:r>
              <w:fldChar w:fldCharType="end"/>
            </w:r>
          </w:hyperlink>
        </w:p>
        <w:p>
          <w:pPr>
            <w:pStyle w:val="TOC5"/>
            <w:tabs>
              <w:tab w:val="right" w:leader="dot" w:pos="10189"/>
            </w:tabs>
            <w:rPr>
              <w:b w:val="0"/>
              <w:noProof/>
            </w:rPr>
          </w:pPr>
          <w:hyperlink w:anchor="_82d7db4a7e467123e31d26985e5d428e" w:history="1">
            <w:r>
              <w:t>Attività finanziarie non immobilizzate</w:t>
            </w:r>
            <w:r>
              <w:rPr>
                <w:webHidden/>
              </w:rPr>
              <w:tab/>
            </w:r>
            <w:r>
              <w:fldChar w:fldCharType="begin"/>
            </w:r>
            <w:r>
              <w:rPr>
                <w:webHidden/>
              </w:rPr>
              <w:instrText xml:space="preserve"> PAGEREF _82d7db4a7e467123e31d26985e5d428e \h </w:instrText>
            </w:r>
            <w:r>
              <w:fldChar w:fldCharType="separate"/>
            </w:r>
            <w:r>
              <w:rPr>
                <w:webHidden/>
              </w:rPr>
              <w:t>X</w:t>
            </w:r>
            <w:r>
              <w:fldChar w:fldCharType="end"/>
            </w:r>
          </w:hyperlink>
        </w:p>
        <w:p>
          <w:pPr>
            <w:pStyle w:val="TOC5"/>
            <w:tabs>
              <w:tab w:val="right" w:leader="dot" w:pos="10189"/>
            </w:tabs>
            <w:rPr>
              <w:b w:val="0"/>
              <w:noProof/>
            </w:rPr>
          </w:pPr>
          <w:hyperlink w:anchor="_f65633d9bab6808b9c76e555a6c0a51b" w:history="1">
            <w:r>
              <w:t>Disponibilità liquide</w:t>
            </w:r>
            <w:r>
              <w:rPr>
                <w:webHidden/>
              </w:rPr>
              <w:tab/>
            </w:r>
            <w:r>
              <w:fldChar w:fldCharType="begin"/>
            </w:r>
            <w:r>
              <w:rPr>
                <w:webHidden/>
              </w:rPr>
              <w:instrText xml:space="preserve"> PAGEREF _f65633d9bab6808b9c76e555a6c0a51b \h </w:instrText>
            </w:r>
            <w:r>
              <w:fldChar w:fldCharType="separate"/>
            </w:r>
            <w:r>
              <w:rPr>
                <w:webHidden/>
              </w:rPr>
              <w:t>X</w:t>
            </w:r>
            <w:r>
              <w:fldChar w:fldCharType="end"/>
            </w:r>
          </w:hyperlink>
        </w:p>
        <w:p>
          <w:pPr>
            <w:pStyle w:val="TOC3"/>
            <w:tabs>
              <w:tab w:val="right" w:leader="dot" w:pos="10189"/>
            </w:tabs>
            <w:rPr>
              <w:b w:val="0"/>
              <w:noProof/>
            </w:rPr>
          </w:pPr>
          <w:hyperlink w:anchor="_be2eda2e3884f72f76a1e50f7c7b8373" w:history="1">
            <w:r>
              <w:t>Patrimonio netto</w:t>
            </w:r>
            <w:r>
              <w:rPr>
                <w:webHidden/>
              </w:rPr>
              <w:tab/>
            </w:r>
            <w:r>
              <w:fldChar w:fldCharType="begin"/>
            </w:r>
            <w:r>
              <w:rPr>
                <w:webHidden/>
              </w:rPr>
              <w:instrText xml:space="preserve"> PAGEREF _be2eda2e3884f72f76a1e50f7c7b8373 \h </w:instrText>
            </w:r>
            <w:r>
              <w:fldChar w:fldCharType="separate"/>
            </w:r>
            <w:r>
              <w:rPr>
                <w:webHidden/>
              </w:rPr>
              <w:t>X</w:t>
            </w:r>
            <w:r>
              <w:fldChar w:fldCharType="end"/>
            </w:r>
          </w:hyperlink>
        </w:p>
        <w:p>
          <w:pPr>
            <w:pStyle w:val="TOC4"/>
            <w:tabs>
              <w:tab w:val="right" w:leader="dot" w:pos="10189"/>
            </w:tabs>
            <w:rPr>
              <w:b w:val="0"/>
              <w:noProof/>
            </w:rPr>
          </w:pPr>
          <w:hyperlink w:anchor="_0db2d484da58da3f955d2358aa8956e8" w:history="1">
            <w:r>
              <w:t>Riserve</w:t>
            </w:r>
            <w:r>
              <w:rPr>
                <w:webHidden/>
              </w:rPr>
              <w:tab/>
            </w:r>
            <w:r>
              <w:fldChar w:fldCharType="begin"/>
            </w:r>
            <w:r>
              <w:rPr>
                <w:webHidden/>
              </w:rPr>
              <w:instrText xml:space="preserve"> PAGEREF _0db2d484da58da3f955d2358aa8956e8 \h </w:instrText>
            </w:r>
            <w:r>
              <w:fldChar w:fldCharType="separate"/>
            </w:r>
            <w:r>
              <w:rPr>
                <w:webHidden/>
              </w:rPr>
              <w:t>X</w:t>
            </w:r>
            <w:r>
              <w:fldChar w:fldCharType="end"/>
            </w:r>
          </w:hyperlink>
        </w:p>
        <w:p>
          <w:pPr>
            <w:pStyle w:val="TOC1"/>
            <w:tabs>
              <w:tab w:val="right" w:leader="dot" w:pos="10189"/>
            </w:tabs>
            <w:rPr>
              <w:b w:val="0"/>
              <w:noProof/>
            </w:rPr>
          </w:pPr>
          <w:hyperlink w:anchor="_2facdeaf2d2be050e60a4484776d93df" w:history="1">
            <w:r>
              <w:t>Conto economico</w:t>
            </w:r>
            <w:r>
              <w:rPr>
                <w:webHidden/>
              </w:rPr>
              <w:tab/>
            </w:r>
            <w:r>
              <w:fldChar w:fldCharType="begin"/>
            </w:r>
            <w:r>
              <w:rPr>
                <w:webHidden/>
              </w:rPr>
              <w:instrText xml:space="preserve"> PAGEREF _2facdeaf2d2be050e60a4484776d93df \h </w:instrText>
            </w:r>
            <w:r>
              <w:fldChar w:fldCharType="separate"/>
            </w:r>
            <w:r>
              <w:rPr>
                <w:webHidden/>
              </w:rPr>
              <w:t>X</w:t>
            </w:r>
            <w:r>
              <w:fldChar w:fldCharType="end"/>
            </w:r>
          </w:hyperlink>
        </w:p>
        <w:p>
          <w:pPr>
            <w:pStyle w:val="TOC2"/>
            <w:tabs>
              <w:tab w:val="right" w:leader="dot" w:pos="10189"/>
            </w:tabs>
            <w:rPr>
              <w:b w:val="0"/>
              <w:noProof/>
            </w:rPr>
          </w:pPr>
          <w:hyperlink w:anchor="_fb99df430a4438945a5480b592398d66" w:history="1">
            <w:r>
              <w:t>Gestione operativa</w:t>
            </w:r>
            <w:r>
              <w:rPr>
                <w:webHidden/>
              </w:rPr>
              <w:tab/>
            </w:r>
            <w:r>
              <w:fldChar w:fldCharType="begin"/>
            </w:r>
            <w:r>
              <w:rPr>
                <w:webHidden/>
              </w:rPr>
              <w:instrText xml:space="preserve"> PAGEREF _fb99df430a4438945a5480b592398d66 \h </w:instrText>
            </w:r>
            <w:r>
              <w:fldChar w:fldCharType="separate"/>
            </w:r>
            <w:r>
              <w:rPr>
                <w:webHidden/>
              </w:rPr>
              <w:t>X</w:t>
            </w:r>
            <w:r>
              <w:fldChar w:fldCharType="end"/>
            </w:r>
          </w:hyperlink>
        </w:p>
        <w:p>
          <w:pPr>
            <w:pStyle w:val="TOC3"/>
            <w:tabs>
              <w:tab w:val="right" w:leader="dot" w:pos="10189"/>
            </w:tabs>
            <w:rPr>
              <w:b w:val="0"/>
              <w:noProof/>
            </w:rPr>
          </w:pPr>
          <w:hyperlink w:anchor="_775e0f8f9a2cc81b1521c78123f84958" w:history="1">
            <w:r>
              <w:t>Valore della produzione</w:t>
            </w:r>
            <w:r>
              <w:rPr>
                <w:webHidden/>
              </w:rPr>
              <w:tab/>
            </w:r>
            <w:r>
              <w:fldChar w:fldCharType="begin"/>
            </w:r>
            <w:r>
              <w:rPr>
                <w:webHidden/>
              </w:rPr>
              <w:instrText xml:space="preserve"> PAGEREF _775e0f8f9a2cc81b1521c78123f84958 \h </w:instrText>
            </w:r>
            <w:r>
              <w:fldChar w:fldCharType="separate"/>
            </w:r>
            <w:r>
              <w:rPr>
                <w:webHidden/>
              </w:rPr>
              <w:t>X</w:t>
            </w:r>
            <w:r>
              <w:fldChar w:fldCharType="end"/>
            </w:r>
          </w:hyperlink>
        </w:p>
        <w:p>
          <w:pPr>
            <w:pStyle w:val="TOC4"/>
            <w:tabs>
              <w:tab w:val="right" w:leader="dot" w:pos="10189"/>
            </w:tabs>
            <w:rPr>
              <w:b w:val="0"/>
              <w:noProof/>
            </w:rPr>
          </w:pPr>
          <w:hyperlink w:anchor="_f8715adb85b93b40a8220b779cea1d96" w:history="1">
            <w:r>
              <w:t>Fatturato netto</w:t>
            </w:r>
            <w:r>
              <w:rPr>
                <w:webHidden/>
              </w:rPr>
              <w:tab/>
            </w:r>
            <w:r>
              <w:fldChar w:fldCharType="begin"/>
            </w:r>
            <w:r>
              <w:rPr>
                <w:webHidden/>
              </w:rPr>
              <w:instrText xml:space="preserve"> PAGEREF _f8715adb85b93b40a8220b779cea1d96 \h </w:instrText>
            </w:r>
            <w:r>
              <w:fldChar w:fldCharType="separate"/>
            </w:r>
            <w:r>
              <w:rPr>
                <w:webHidden/>
              </w:rPr>
              <w:t>X</w:t>
            </w:r>
            <w:r>
              <w:fldChar w:fldCharType="end"/>
            </w:r>
          </w:hyperlink>
        </w:p>
        <w:p>
          <w:pPr>
            <w:pStyle w:val="TOC4"/>
            <w:tabs>
              <w:tab w:val="right" w:leader="dot" w:pos="10189"/>
            </w:tabs>
            <w:rPr>
              <w:b w:val="0"/>
              <w:noProof/>
            </w:rPr>
          </w:pPr>
          <w:hyperlink w:anchor="_1b94648114c0650a5dd7fef2974fe393" w:history="1">
            <w:r>
              <w:t>Altri ricavi e proventi</w:t>
            </w:r>
            <w:r>
              <w:rPr>
                <w:webHidden/>
              </w:rPr>
              <w:tab/>
            </w:r>
            <w:r>
              <w:fldChar w:fldCharType="begin"/>
            </w:r>
            <w:r>
              <w:rPr>
                <w:webHidden/>
              </w:rPr>
              <w:instrText xml:space="preserve"> PAGEREF _1b94648114c0650a5dd7fef2974fe393 \h </w:instrText>
            </w:r>
            <w:r>
              <w:fldChar w:fldCharType="separate"/>
            </w:r>
            <w:r>
              <w:rPr>
                <w:webHidden/>
              </w:rPr>
              <w:t>X</w:t>
            </w:r>
            <w:r>
              <w:fldChar w:fldCharType="end"/>
            </w:r>
          </w:hyperlink>
        </w:p>
        <w:p>
          <w:pPr>
            <w:pStyle w:val="TOC3"/>
            <w:tabs>
              <w:tab w:val="right" w:leader="dot" w:pos="10189"/>
            </w:tabs>
            <w:rPr>
              <w:b w:val="0"/>
              <w:noProof/>
            </w:rPr>
          </w:pPr>
          <w:hyperlink w:anchor="_f5ab18ec297d9d4529d3ed7bb07d7614" w:history="1">
            <w:r>
              <w:t>Costi operativi</w:t>
            </w:r>
            <w:r>
              <w:rPr>
                <w:webHidden/>
              </w:rPr>
              <w:tab/>
            </w:r>
            <w:r>
              <w:fldChar w:fldCharType="begin"/>
            </w:r>
            <w:r>
              <w:rPr>
                <w:webHidden/>
              </w:rPr>
              <w:instrText xml:space="preserve"> PAGEREF _f5ab18ec297d9d4529d3ed7bb07d7614 \h </w:instrText>
            </w:r>
            <w:r>
              <w:fldChar w:fldCharType="separate"/>
            </w:r>
            <w:r>
              <w:rPr>
                <w:webHidden/>
              </w:rPr>
              <w:t>X</w:t>
            </w:r>
            <w:r>
              <w:fldChar w:fldCharType="end"/>
            </w:r>
          </w:hyperlink>
        </w:p>
        <w:p>
          <w:pPr>
            <w:pStyle w:val="TOC4"/>
            <w:tabs>
              <w:tab w:val="right" w:leader="dot" w:pos="10189"/>
            </w:tabs>
            <w:rPr>
              <w:b w:val="0"/>
              <w:noProof/>
            </w:rPr>
          </w:pPr>
          <w:hyperlink w:anchor="_b1cb22c36cf7f6c2607b75d64390bdd1" w:history="1">
            <w:r>
              <w:t>Materie prime e merci</w:t>
            </w:r>
            <w:r>
              <w:rPr>
                <w:webHidden/>
              </w:rPr>
              <w:tab/>
            </w:r>
            <w:r>
              <w:fldChar w:fldCharType="begin"/>
            </w:r>
            <w:r>
              <w:rPr>
                <w:webHidden/>
              </w:rPr>
              <w:instrText xml:space="preserve"> PAGEREF _b1cb22c36cf7f6c2607b75d64390bdd1 \h </w:instrText>
            </w:r>
            <w:r>
              <w:fldChar w:fldCharType="separate"/>
            </w:r>
            <w:r>
              <w:rPr>
                <w:webHidden/>
              </w:rPr>
              <w:t>X</w:t>
            </w:r>
            <w:r>
              <w:fldChar w:fldCharType="end"/>
            </w:r>
          </w:hyperlink>
        </w:p>
        <w:p>
          <w:pPr>
            <w:pStyle w:val="TOC4"/>
            <w:tabs>
              <w:tab w:val="right" w:leader="dot" w:pos="10189"/>
            </w:tabs>
            <w:rPr>
              <w:b w:val="0"/>
              <w:noProof/>
            </w:rPr>
          </w:pPr>
          <w:hyperlink w:anchor="_661369df8f99d324902dd63188939d42" w:history="1">
            <w:r>
              <w:t>Servizi</w:t>
            </w:r>
            <w:r>
              <w:rPr>
                <w:webHidden/>
              </w:rPr>
              <w:tab/>
            </w:r>
            <w:r>
              <w:fldChar w:fldCharType="begin"/>
            </w:r>
            <w:r>
              <w:rPr>
                <w:webHidden/>
              </w:rPr>
              <w:instrText xml:space="preserve"> PAGEREF _661369df8f99d324902dd63188939d42 \h </w:instrText>
            </w:r>
            <w:r>
              <w:fldChar w:fldCharType="separate"/>
            </w:r>
            <w:r>
              <w:rPr>
                <w:webHidden/>
              </w:rPr>
              <w:t>X</w:t>
            </w:r>
            <w:r>
              <w:fldChar w:fldCharType="end"/>
            </w:r>
          </w:hyperlink>
        </w:p>
        <w:p>
          <w:pPr>
            <w:pStyle w:val="TOC5"/>
            <w:tabs>
              <w:tab w:val="right" w:leader="dot" w:pos="10189"/>
            </w:tabs>
            <w:rPr>
              <w:b w:val="0"/>
              <w:noProof/>
            </w:rPr>
          </w:pPr>
          <w:hyperlink w:anchor="_87296c9e0e59eaabad121da0ecef7428" w:history="1">
            <w:r>
              <w:t>Spese generali e amministrative</w:t>
            </w:r>
            <w:r>
              <w:rPr>
                <w:webHidden/>
              </w:rPr>
              <w:tab/>
            </w:r>
            <w:r>
              <w:fldChar w:fldCharType="begin"/>
            </w:r>
            <w:r>
              <w:rPr>
                <w:webHidden/>
              </w:rPr>
              <w:instrText xml:space="preserve"> PAGEREF _87296c9e0e59eaabad121da0ecef7428 \h </w:instrText>
            </w:r>
            <w:r>
              <w:fldChar w:fldCharType="separate"/>
            </w:r>
            <w:r>
              <w:rPr>
                <w:webHidden/>
              </w:rPr>
              <w:t>X</w:t>
            </w:r>
            <w:r>
              <w:fldChar w:fldCharType="end"/>
            </w:r>
          </w:hyperlink>
        </w:p>
        <w:p>
          <w:pPr>
            <w:pStyle w:val="TOC4"/>
            <w:tabs>
              <w:tab w:val="right" w:leader="dot" w:pos="10189"/>
            </w:tabs>
            <w:rPr>
              <w:b w:val="0"/>
              <w:noProof/>
            </w:rPr>
          </w:pPr>
          <w:hyperlink w:anchor="_9cb10fea23f34622d084fadccedbf98a" w:history="1">
            <w:r>
              <w:t>Godimento di beni di terzi</w:t>
            </w:r>
            <w:r>
              <w:rPr>
                <w:webHidden/>
              </w:rPr>
              <w:tab/>
            </w:r>
            <w:r>
              <w:fldChar w:fldCharType="begin"/>
            </w:r>
            <w:r>
              <w:rPr>
                <w:webHidden/>
              </w:rPr>
              <w:instrText xml:space="preserve"> PAGEREF _9cb10fea23f34622d084fadccedbf98a \h </w:instrText>
            </w:r>
            <w:r>
              <w:fldChar w:fldCharType="separate"/>
            </w:r>
            <w:r>
              <w:rPr>
                <w:webHidden/>
              </w:rPr>
              <w:t>X</w:t>
            </w:r>
            <w:r>
              <w:fldChar w:fldCharType="end"/>
            </w:r>
          </w:hyperlink>
        </w:p>
        <w:p>
          <w:pPr>
            <w:pStyle w:val="TOC4"/>
            <w:tabs>
              <w:tab w:val="right" w:leader="dot" w:pos="10189"/>
            </w:tabs>
            <w:rPr>
              <w:b w:val="0"/>
              <w:noProof/>
            </w:rPr>
          </w:pPr>
          <w:hyperlink w:anchor="_087e37e419d40e0484201460df1fd81a" w:history="1">
            <w:r>
              <w:t>Personale</w:t>
            </w:r>
            <w:r>
              <w:rPr>
                <w:webHidden/>
              </w:rPr>
              <w:tab/>
            </w:r>
            <w:r>
              <w:fldChar w:fldCharType="begin"/>
            </w:r>
            <w:r>
              <w:rPr>
                <w:webHidden/>
              </w:rPr>
              <w:instrText xml:space="preserve"> PAGEREF _087e37e419d40e0484201460df1fd81a \h </w:instrText>
            </w:r>
            <w:r>
              <w:fldChar w:fldCharType="separate"/>
            </w:r>
            <w:r>
              <w:rPr>
                <w:webHidden/>
              </w:rPr>
              <w:t>X</w:t>
            </w:r>
            <w:r>
              <w:fldChar w:fldCharType="end"/>
            </w:r>
          </w:hyperlink>
        </w:p>
        <w:p>
          <w:pPr>
            <w:pStyle w:val="TOC4"/>
            <w:tabs>
              <w:tab w:val="right" w:leader="dot" w:pos="10189"/>
            </w:tabs>
            <w:rPr>
              <w:b w:val="0"/>
              <w:noProof/>
            </w:rPr>
          </w:pPr>
          <w:hyperlink w:anchor="_10213c2ede85849da73016ab4d08820d" w:history="1">
            <w:r>
              <w:t>Accantonamenti per rischi e oneri</w:t>
            </w:r>
            <w:r>
              <w:rPr>
                <w:webHidden/>
              </w:rPr>
              <w:tab/>
            </w:r>
            <w:r>
              <w:fldChar w:fldCharType="begin"/>
            </w:r>
            <w:r>
              <w:rPr>
                <w:webHidden/>
              </w:rPr>
              <w:instrText xml:space="preserve"> PAGEREF _10213c2ede85849da73016ab4d08820d \h </w:instrText>
            </w:r>
            <w:r>
              <w:fldChar w:fldCharType="separate"/>
            </w:r>
            <w:r>
              <w:rPr>
                <w:webHidden/>
              </w:rPr>
              <w:t>X</w:t>
            </w:r>
            <w:r>
              <w:fldChar w:fldCharType="end"/>
            </w:r>
          </w:hyperlink>
        </w:p>
        <w:p>
          <w:pPr>
            <w:pStyle w:val="TOC4"/>
            <w:tabs>
              <w:tab w:val="right" w:leader="dot" w:pos="10189"/>
            </w:tabs>
            <w:rPr>
              <w:b w:val="0"/>
              <w:noProof/>
            </w:rPr>
          </w:pPr>
          <w:hyperlink w:anchor="_25e94304b52823362495ddbd66f73bd8" w:history="1">
            <w:r>
              <w:t>Oneri di gestione</w:t>
            </w:r>
            <w:r>
              <w:rPr>
                <w:webHidden/>
              </w:rPr>
              <w:tab/>
            </w:r>
            <w:r>
              <w:fldChar w:fldCharType="begin"/>
            </w:r>
            <w:r>
              <w:rPr>
                <w:webHidden/>
              </w:rPr>
              <w:instrText xml:space="preserve"> PAGEREF _25e94304b52823362495ddbd66f73bd8 \h </w:instrText>
            </w:r>
            <w:r>
              <w:fldChar w:fldCharType="separate"/>
            </w:r>
            <w:r>
              <w:rPr>
                <w:webHidden/>
              </w:rPr>
              <w:t>X</w:t>
            </w:r>
            <w:r>
              <w:fldChar w:fldCharType="end"/>
            </w:r>
          </w:hyperlink>
        </w:p>
        <w:p>
          <w:pPr>
            <w:pStyle w:val="TOC3"/>
            <w:tabs>
              <w:tab w:val="right" w:leader="dot" w:pos="10189"/>
            </w:tabs>
            <w:rPr>
              <w:b w:val="0"/>
              <w:noProof/>
            </w:rPr>
          </w:pPr>
          <w:hyperlink w:anchor="_5e75f3e461d36c3f8f6b6cd9e0e62668" w:history="1">
            <w:r>
              <w:t>Ammortamenti e svalutazioni</w:t>
            </w:r>
            <w:r>
              <w:rPr>
                <w:webHidden/>
              </w:rPr>
              <w:tab/>
            </w:r>
            <w:r>
              <w:fldChar w:fldCharType="begin"/>
            </w:r>
            <w:r>
              <w:rPr>
                <w:webHidden/>
              </w:rPr>
              <w:instrText xml:space="preserve"> PAGEREF _5e75f3e461d36c3f8f6b6cd9e0e62668 \h </w:instrText>
            </w:r>
            <w:r>
              <w:fldChar w:fldCharType="separate"/>
            </w:r>
            <w:r>
              <w:rPr>
                <w:webHidden/>
              </w:rPr>
              <w:t>X</w:t>
            </w:r>
            <w:r>
              <w:fldChar w:fldCharType="end"/>
            </w:r>
          </w:hyperlink>
        </w:p>
        <w:p>
          <w:pPr>
            <w:pStyle w:val="TOC4"/>
            <w:tabs>
              <w:tab w:val="right" w:leader="dot" w:pos="10189"/>
            </w:tabs>
            <w:rPr>
              <w:b w:val="0"/>
              <w:noProof/>
            </w:rPr>
          </w:pPr>
          <w:hyperlink w:anchor="_d21688aeb90cf452ca91bb781514cc57" w:history="1">
            <w:r>
              <w:t>Ammortamenti</w:t>
            </w:r>
            <w:r>
              <w:rPr>
                <w:webHidden/>
              </w:rPr>
              <w:tab/>
            </w:r>
            <w:r>
              <w:fldChar w:fldCharType="begin"/>
            </w:r>
            <w:r>
              <w:rPr>
                <w:webHidden/>
              </w:rPr>
              <w:instrText xml:space="preserve"> PAGEREF _d21688aeb90cf452ca91bb781514cc57 \h </w:instrText>
            </w:r>
            <w:r>
              <w:fldChar w:fldCharType="separate"/>
            </w:r>
            <w:r>
              <w:rPr>
                <w:webHidden/>
              </w:rPr>
              <w:t>X</w:t>
            </w:r>
            <w:r>
              <w:fldChar w:fldCharType="end"/>
            </w:r>
          </w:hyperlink>
        </w:p>
        <w:p>
          <w:pPr>
            <w:pStyle w:val="TOC4"/>
            <w:tabs>
              <w:tab w:val="right" w:leader="dot" w:pos="10189"/>
            </w:tabs>
            <w:rPr>
              <w:b w:val="0"/>
              <w:noProof/>
            </w:rPr>
          </w:pPr>
          <w:hyperlink w:anchor="_cb2175c2da0dde64cff649f55cdaf3f6" w:history="1">
            <w:r>
              <w:t>Svalutazioni di immobilizzazioni e crediti compresi nell’attivo circolante</w:t>
            </w:r>
            <w:r>
              <w:rPr>
                <w:webHidden/>
              </w:rPr>
              <w:tab/>
            </w:r>
            <w:r>
              <w:fldChar w:fldCharType="begin"/>
            </w:r>
            <w:r>
              <w:rPr>
                <w:webHidden/>
              </w:rPr>
              <w:instrText xml:space="preserve"> PAGEREF _cb2175c2da0dde64cff649f55cdaf3f6 \h </w:instrText>
            </w:r>
            <w:r>
              <w:fldChar w:fldCharType="separate"/>
            </w:r>
            <w:r>
              <w:rPr>
                <w:webHidden/>
              </w:rPr>
              <w:t>X</w:t>
            </w:r>
            <w:r>
              <w:fldChar w:fldCharType="end"/>
            </w:r>
          </w:hyperlink>
        </w:p>
        <w:p>
          <w:pPr>
            <w:pStyle w:val="TOC2"/>
            <w:tabs>
              <w:tab w:val="right" w:leader="dot" w:pos="10189"/>
            </w:tabs>
            <w:rPr>
              <w:b w:val="0"/>
              <w:noProof/>
            </w:rPr>
          </w:pPr>
          <w:hyperlink w:anchor="_743a721d27d96b9d56bb13565a334fd3" w:history="1">
            <w:r>
              <w:t>Gestione finanziaria</w:t>
            </w:r>
            <w:r>
              <w:rPr>
                <w:webHidden/>
              </w:rPr>
              <w:tab/>
            </w:r>
            <w:r>
              <w:fldChar w:fldCharType="begin"/>
            </w:r>
            <w:r>
              <w:rPr>
                <w:webHidden/>
              </w:rPr>
              <w:instrText xml:space="preserve"> PAGEREF _743a721d27d96b9d56bb13565a334fd3 \h </w:instrText>
            </w:r>
            <w:r>
              <w:fldChar w:fldCharType="separate"/>
            </w:r>
            <w:r>
              <w:rPr>
                <w:webHidden/>
              </w:rPr>
              <w:t>X</w:t>
            </w:r>
            <w:r>
              <w:fldChar w:fldCharType="end"/>
            </w:r>
          </w:hyperlink>
        </w:p>
        <w:p>
          <w:pPr>
            <w:pStyle w:val="TOC3"/>
            <w:tabs>
              <w:tab w:val="right" w:leader="dot" w:pos="10189"/>
            </w:tabs>
            <w:rPr>
              <w:b w:val="0"/>
              <w:noProof/>
            </w:rPr>
          </w:pPr>
          <w:hyperlink w:anchor="_352feb344487d89fc58e8ddd2f8e6700" w:history="1">
            <w:r>
              <w:t>Proventi finanziari</w:t>
            </w:r>
            <w:r>
              <w:rPr>
                <w:webHidden/>
              </w:rPr>
              <w:tab/>
            </w:r>
            <w:r>
              <w:fldChar w:fldCharType="begin"/>
            </w:r>
            <w:r>
              <w:rPr>
                <w:webHidden/>
              </w:rPr>
              <w:instrText xml:space="preserve"> PAGEREF _352feb344487d89fc58e8ddd2f8e6700 \h </w:instrText>
            </w:r>
            <w:r>
              <w:fldChar w:fldCharType="separate"/>
            </w:r>
            <w:r>
              <w:rPr>
                <w:webHidden/>
              </w:rPr>
              <w:t>X</w:t>
            </w:r>
            <w:r>
              <w:fldChar w:fldCharType="end"/>
            </w:r>
          </w:hyperlink>
        </w:p>
        <w:p>
          <w:pPr>
            <w:pStyle w:val="TOC3"/>
            <w:tabs>
              <w:tab w:val="right" w:leader="dot" w:pos="10189"/>
            </w:tabs>
            <w:rPr>
              <w:b w:val="0"/>
              <w:noProof/>
            </w:rPr>
          </w:pPr>
          <w:hyperlink w:anchor="_3bdbf17168a6e9de2f8f380501187457" w:history="1">
            <w:r>
              <w:t>Oneri finanziari</w:t>
            </w:r>
            <w:r>
              <w:rPr>
                <w:webHidden/>
              </w:rPr>
              <w:tab/>
            </w:r>
            <w:r>
              <w:fldChar w:fldCharType="begin"/>
            </w:r>
            <w:r>
              <w:rPr>
                <w:webHidden/>
              </w:rPr>
              <w:instrText xml:space="preserve"> PAGEREF _3bdbf17168a6e9de2f8f380501187457 \h </w:instrText>
            </w:r>
            <w:r>
              <w:fldChar w:fldCharType="separate"/>
            </w:r>
            <w:r>
              <w:rPr>
                <w:webHidden/>
              </w:rPr>
              <w:t>X</w:t>
            </w:r>
            <w:r>
              <w:fldChar w:fldCharType="end"/>
            </w:r>
          </w:hyperlink>
        </w:p>
        <w:p>
          <w:pPr>
            <w:pStyle w:val="TOC3"/>
            <w:tabs>
              <w:tab w:val="right" w:leader="dot" w:pos="10189"/>
            </w:tabs>
            <w:rPr>
              <w:b w:val="0"/>
              <w:noProof/>
            </w:rPr>
          </w:pPr>
          <w:hyperlink w:anchor="_1cca87986c69129e66689ec8a74ff5e7" w:history="1">
            <w:r>
              <w:t>Utili e perdite su cambi</w:t>
            </w:r>
            <w:r>
              <w:rPr>
                <w:webHidden/>
              </w:rPr>
              <w:tab/>
            </w:r>
            <w:r>
              <w:fldChar w:fldCharType="begin"/>
            </w:r>
            <w:r>
              <w:rPr>
                <w:webHidden/>
              </w:rPr>
              <w:instrText xml:space="preserve"> PAGEREF _1cca87986c69129e66689ec8a74ff5e7 \h </w:instrText>
            </w:r>
            <w:r>
              <w:fldChar w:fldCharType="separate"/>
            </w:r>
            <w:r>
              <w:rPr>
                <w:webHidden/>
              </w:rPr>
              <w:t>X</w:t>
            </w:r>
            <w:r>
              <w:fldChar w:fldCharType="end"/>
            </w:r>
          </w:hyperlink>
        </w:p>
        <w:p>
          <w:pPr>
            <w:pStyle w:val="TOC3"/>
            <w:tabs>
              <w:tab w:val="right" w:leader="dot" w:pos="10189"/>
            </w:tabs>
            <w:rPr>
              <w:b w:val="0"/>
              <w:noProof/>
            </w:rPr>
          </w:pPr>
          <w:hyperlink w:anchor="_df2989a6a3abc921a21d9cfca093cc64" w:history="1">
            <w:r>
              <w:t>Rivalutazioni e svalutazioni di attività finanziarie</w:t>
            </w:r>
            <w:r>
              <w:rPr>
                <w:webHidden/>
              </w:rPr>
              <w:tab/>
            </w:r>
            <w:r>
              <w:fldChar w:fldCharType="begin"/>
            </w:r>
            <w:r>
              <w:rPr>
                <w:webHidden/>
              </w:rPr>
              <w:instrText xml:space="preserve"> PAGEREF _df2989a6a3abc921a21d9cfca093cc64 \h </w:instrText>
            </w:r>
            <w:r>
              <w:fldChar w:fldCharType="separate"/>
            </w:r>
            <w:r>
              <w:rPr>
                <w:webHidden/>
              </w:rPr>
              <w:t>X</w:t>
            </w:r>
            <w:r>
              <w:fldChar w:fldCharType="end"/>
            </w:r>
          </w:hyperlink>
        </w:p>
        <w:p>
          <w:pPr>
            <w:pStyle w:val="TOC2"/>
            <w:tabs>
              <w:tab w:val="right" w:leader="dot" w:pos="10189"/>
            </w:tabs>
            <w:rPr>
              <w:b w:val="0"/>
              <w:noProof/>
            </w:rPr>
          </w:pPr>
          <w:hyperlink w:anchor="_a5bbe4b8fe8bf0b2d77c1fffa37ee76d" w:history="1">
            <w:r>
              <w:t>Gestione fiscale</w:t>
            </w:r>
            <w:r>
              <w:rPr>
                <w:webHidden/>
              </w:rPr>
              <w:tab/>
            </w:r>
            <w:r>
              <w:fldChar w:fldCharType="begin"/>
            </w:r>
            <w:r>
              <w:rPr>
                <w:webHidden/>
              </w:rPr>
              <w:instrText xml:space="preserve"> PAGEREF _a5bbe4b8fe8bf0b2d77c1fffa37ee76d \h </w:instrText>
            </w:r>
            <w:r>
              <w:fldChar w:fldCharType="separate"/>
            </w:r>
            <w:r>
              <w:rPr>
                <w:webHidden/>
              </w:rPr>
              <w:t>X</w:t>
            </w:r>
            <w:r>
              <w:fldChar w:fldCharType="end"/>
            </w:r>
          </w:hyperlink>
        </w:p>
        <w:p>
          <w:pPr>
            <w:pStyle w:val="TOC3"/>
            <w:tabs>
              <w:tab w:val="right" w:leader="dot" w:pos="10189"/>
            </w:tabs>
            <w:rPr>
              <w:b w:val="0"/>
              <w:noProof/>
            </w:rPr>
          </w:pPr>
          <w:hyperlink w:anchor="_32351482072ed89f04106668c34233cc" w:history="1">
            <w:r>
              <w:t>Imposte correnti</w:t>
            </w:r>
            <w:r>
              <w:rPr>
                <w:webHidden/>
              </w:rPr>
              <w:tab/>
            </w:r>
            <w:r>
              <w:fldChar w:fldCharType="begin"/>
            </w:r>
            <w:r>
              <w:rPr>
                <w:webHidden/>
              </w:rPr>
              <w:instrText xml:space="preserve"> PAGEREF _32351482072ed89f04106668c34233cc \h </w:instrText>
            </w:r>
            <w:r>
              <w:fldChar w:fldCharType="separate"/>
            </w:r>
            <w:r>
              <w:rPr>
                <w:webHidden/>
              </w:rPr>
              <w:t>X</w:t>
            </w:r>
            <w:r>
              <w:fldChar w:fldCharType="end"/>
            </w:r>
          </w:hyperlink>
        </w:p>
        <w:p>
          <w:pPr>
            <w:pStyle w:val="TOC3"/>
            <w:tabs>
              <w:tab w:val="right" w:leader="dot" w:pos="10189"/>
            </w:tabs>
            <w:rPr>
              <w:b w:val="0"/>
              <w:noProof/>
            </w:rPr>
          </w:pPr>
          <w:hyperlink w:anchor="_bc7122be5c34122a40d3dd85e899cfe8" w:history="1">
            <w:r>
              <w:t>Imposte differite e anticipate</w:t>
            </w:r>
            <w:r>
              <w:rPr>
                <w:webHidden/>
              </w:rPr>
              <w:tab/>
            </w:r>
            <w:r>
              <w:fldChar w:fldCharType="begin"/>
            </w:r>
            <w:r>
              <w:rPr>
                <w:webHidden/>
              </w:rPr>
              <w:instrText xml:space="preserve"> PAGEREF _bc7122be5c34122a40d3dd85e899cfe8 \h </w:instrText>
            </w:r>
            <w:r>
              <w:fldChar w:fldCharType="separate"/>
            </w:r>
            <w:r>
              <w:rPr>
                <w:webHidden/>
              </w:rPr>
              <w:t>X</w:t>
            </w:r>
            <w:r>
              <w:fldChar w:fldCharType="end"/>
            </w:r>
          </w:hyperlink>
        </w:p>
        <w:p>
          <w:pPr>
            <w:pStyle w:val="TOC3"/>
            <w:tabs>
              <w:tab w:val="right" w:leader="dot" w:pos="10189"/>
            </w:tabs>
            <w:rPr>
              <w:b w:val="0"/>
              <w:noProof/>
            </w:rPr>
          </w:pPr>
          <w:hyperlink w:anchor="_c351aca49c9cdac50c3569ee8215b816" w:history="1">
            <w:r>
              <w:t>Proventi oneri da consolidato e trasparenza fiscali</w:t>
            </w:r>
            <w:r>
              <w:rPr>
                <w:webHidden/>
              </w:rPr>
              <w:tab/>
            </w:r>
            <w:r>
              <w:fldChar w:fldCharType="begin"/>
            </w:r>
            <w:r>
              <w:rPr>
                <w:webHidden/>
              </w:rPr>
              <w:instrText xml:space="preserve"> PAGEREF _c351aca49c9cdac50c3569ee8215b816 \h </w:instrText>
            </w:r>
            <w:r>
              <w:fldChar w:fldCharType="separate"/>
            </w:r>
            <w:r>
              <w:rPr>
                <w:webHidden/>
              </w:rPr>
              <w:t>X</w:t>
            </w:r>
            <w:r>
              <w:fldChar w:fldCharType="end"/>
            </w:r>
          </w:hyperlink>
        </w:p>
        <w:p>
          <w:pPr>
            <w:pStyle w:val="TOC1"/>
            <w:tabs>
              <w:tab w:val="right" w:leader="dot" w:pos="10189"/>
            </w:tabs>
            <w:rPr>
              <w:b w:val="0"/>
              <w:noProof/>
            </w:rPr>
          </w:pPr>
          <w:hyperlink w:anchor="_be9dd59504b6581d5cad29d60c714237" w:history="1">
            <w:r>
              <w:t>Rendiconto finanziario</w:t>
            </w:r>
            <w:r>
              <w:rPr>
                <w:webHidden/>
              </w:rPr>
              <w:tab/>
            </w:r>
            <w:r>
              <w:fldChar w:fldCharType="begin"/>
            </w:r>
            <w:r>
              <w:rPr>
                <w:webHidden/>
              </w:rPr>
              <w:instrText xml:space="preserve"> PAGEREF _be9dd59504b6581d5cad29d60c714237 \h </w:instrText>
            </w:r>
            <w:r>
              <w:fldChar w:fldCharType="separate"/>
            </w:r>
            <w:r>
              <w:rPr>
                <w:webHidden/>
              </w:rPr>
              <w:t>X</w:t>
            </w:r>
            <w:r>
              <w:fldChar w:fldCharType="end"/>
            </w:r>
          </w:hyperlink>
        </w:p>
        <w:p>
          <w:pPr>
            <w:pStyle w:val="TOC2"/>
            <w:tabs>
              <w:tab w:val="right" w:leader="dot" w:pos="10189"/>
            </w:tabs>
            <w:rPr>
              <w:b w:val="0"/>
              <w:noProof/>
            </w:rPr>
          </w:pPr>
          <w:hyperlink w:anchor="_8a306df4a6d8a94ab39627d3fba5975d" w:history="1">
            <w:r>
              <w:t>Flussi di cassa derivanti dall’attività operativa</w:t>
            </w:r>
            <w:r>
              <w:rPr>
                <w:webHidden/>
              </w:rPr>
              <w:tab/>
            </w:r>
            <w:r>
              <w:fldChar w:fldCharType="begin"/>
            </w:r>
            <w:r>
              <w:rPr>
                <w:webHidden/>
              </w:rPr>
              <w:instrText xml:space="preserve"> PAGEREF _8a306df4a6d8a94ab39627d3fba5975d \h </w:instrText>
            </w:r>
            <w:r>
              <w:fldChar w:fldCharType="separate"/>
            </w:r>
            <w:r>
              <w:rPr>
                <w:webHidden/>
              </w:rPr>
              <w:t>X</w:t>
            </w:r>
            <w:r>
              <w:fldChar w:fldCharType="end"/>
            </w:r>
          </w:hyperlink>
        </w:p>
        <w:p>
          <w:pPr>
            <w:pStyle w:val="TOC3"/>
            <w:tabs>
              <w:tab w:val="right" w:leader="dot" w:pos="10189"/>
            </w:tabs>
            <w:rPr>
              <w:b w:val="0"/>
              <w:noProof/>
            </w:rPr>
          </w:pPr>
          <w:hyperlink w:anchor="_85f7d8861ce56e4ba394f03d4501e307" w:history="1">
            <w:r>
              <w:t>Variazione del capitale circolante netto</w:t>
            </w:r>
            <w:r>
              <w:rPr>
                <w:webHidden/>
              </w:rPr>
              <w:tab/>
            </w:r>
            <w:r>
              <w:fldChar w:fldCharType="begin"/>
            </w:r>
            <w:r>
              <w:rPr>
                <w:webHidden/>
              </w:rPr>
              <w:instrText xml:space="preserve"> PAGEREF _85f7d8861ce56e4ba394f03d4501e307 \h </w:instrText>
            </w:r>
            <w:r>
              <w:fldChar w:fldCharType="separate"/>
            </w:r>
            <w:r>
              <w:rPr>
                <w:webHidden/>
              </w:rPr>
              <w:t>X</w:t>
            </w:r>
            <w:r>
              <w:fldChar w:fldCharType="end"/>
            </w:r>
          </w:hyperlink>
        </w:p>
        <w:p>
          <w:pPr>
            <w:pStyle w:val="TOC4"/>
            <w:tabs>
              <w:tab w:val="right" w:leader="dot" w:pos="10189"/>
            </w:tabs>
            <w:rPr>
              <w:b w:val="0"/>
              <w:noProof/>
            </w:rPr>
          </w:pPr>
          <w:hyperlink w:anchor="_d74c2ae434e6e0245c4f789bd2f29110" w:history="1">
            <w:r>
              <w:t>Variazione dei crediti e debiti commerciali</w:t>
            </w:r>
            <w:r>
              <w:rPr>
                <w:webHidden/>
              </w:rPr>
              <w:tab/>
            </w:r>
            <w:r>
              <w:fldChar w:fldCharType="begin"/>
            </w:r>
            <w:r>
              <w:rPr>
                <w:webHidden/>
              </w:rPr>
              <w:instrText xml:space="preserve"> PAGEREF _d74c2ae434e6e0245c4f789bd2f29110 \h </w:instrText>
            </w:r>
            <w:r>
              <w:fldChar w:fldCharType="separate"/>
            </w:r>
            <w:r>
              <w:rPr>
                <w:webHidden/>
              </w:rPr>
              <w:t>X</w:t>
            </w:r>
            <w:r>
              <w:fldChar w:fldCharType="end"/>
            </w:r>
          </w:hyperlink>
        </w:p>
        <w:p>
          <w:pPr>
            <w:pStyle w:val="TOC4"/>
            <w:tabs>
              <w:tab w:val="right" w:leader="dot" w:pos="10189"/>
            </w:tabs>
            <w:rPr>
              <w:b w:val="0"/>
              <w:noProof/>
            </w:rPr>
          </w:pPr>
          <w:hyperlink w:anchor="_adf597d1eac4fca4fe37dda790f81b0b" w:history="1">
            <w:r>
              <w:t>Variazione dei crediti e debiti verso imprese infragruppo</w:t>
            </w:r>
            <w:r>
              <w:rPr>
                <w:webHidden/>
              </w:rPr>
              <w:tab/>
            </w:r>
            <w:r>
              <w:fldChar w:fldCharType="begin"/>
            </w:r>
            <w:r>
              <w:rPr>
                <w:webHidden/>
              </w:rPr>
              <w:instrText xml:space="preserve"> PAGEREF _adf597d1eac4fca4fe37dda790f81b0b \h </w:instrText>
            </w:r>
            <w:r>
              <w:fldChar w:fldCharType="separate"/>
            </w:r>
            <w:r>
              <w:rPr>
                <w:webHidden/>
              </w:rPr>
              <w:t>X</w:t>
            </w:r>
            <w:r>
              <w:fldChar w:fldCharType="end"/>
            </w:r>
          </w:hyperlink>
        </w:p>
        <w:p>
          <w:pPr>
            <w:pStyle w:val="TOC4"/>
            <w:tabs>
              <w:tab w:val="right" w:leader="dot" w:pos="10189"/>
            </w:tabs>
            <w:rPr>
              <w:b w:val="0"/>
              <w:noProof/>
            </w:rPr>
          </w:pPr>
          <w:hyperlink w:anchor="_bf399f8e0c9cc6a4d0fe28220022df82" w:history="1">
            <w:r>
              <w:t>Variazione dei crediti e debiti tributari</w:t>
            </w:r>
            <w:r>
              <w:rPr>
                <w:webHidden/>
              </w:rPr>
              <w:tab/>
            </w:r>
            <w:r>
              <w:fldChar w:fldCharType="begin"/>
            </w:r>
            <w:r>
              <w:rPr>
                <w:webHidden/>
              </w:rPr>
              <w:instrText xml:space="preserve"> PAGEREF _bf399f8e0c9cc6a4d0fe28220022df82 \h </w:instrText>
            </w:r>
            <w:r>
              <w:fldChar w:fldCharType="separate"/>
            </w:r>
            <w:r>
              <w:rPr>
                <w:webHidden/>
              </w:rPr>
              <w:t>X</w:t>
            </w:r>
            <w:r>
              <w:fldChar w:fldCharType="end"/>
            </w:r>
          </w:hyperlink>
        </w:p>
        <w:p>
          <w:pPr>
            <w:pStyle w:val="TOC4"/>
            <w:tabs>
              <w:tab w:val="right" w:leader="dot" w:pos="10189"/>
            </w:tabs>
            <w:rPr>
              <w:b w:val="0"/>
              <w:noProof/>
            </w:rPr>
          </w:pPr>
          <w:hyperlink w:anchor="_77afcdcc02226fdcd2e7a1b0f29d13ae" w:history="1">
            <w:r>
              <w:t>Altre variazioni di capitale circolante netto</w:t>
            </w:r>
            <w:r>
              <w:rPr>
                <w:webHidden/>
              </w:rPr>
              <w:tab/>
            </w:r>
            <w:r>
              <w:fldChar w:fldCharType="begin"/>
            </w:r>
            <w:r>
              <w:rPr>
                <w:webHidden/>
              </w:rPr>
              <w:instrText xml:space="preserve"> PAGEREF _77afcdcc02226fdcd2e7a1b0f29d13ae \h </w:instrText>
            </w:r>
            <w:r>
              <w:fldChar w:fldCharType="separate"/>
            </w:r>
            <w:r>
              <w:rPr>
                <w:webHidden/>
              </w:rPr>
              <w:t>X</w:t>
            </w:r>
            <w:r>
              <w:fldChar w:fldCharType="end"/>
            </w:r>
          </w:hyperlink>
        </w:p>
        <w:p>
          <w:pPr>
            <w:pStyle w:val="TOC3"/>
            <w:tabs>
              <w:tab w:val="right" w:leader="dot" w:pos="10189"/>
            </w:tabs>
            <w:rPr>
              <w:b w:val="0"/>
              <w:noProof/>
            </w:rPr>
          </w:pPr>
          <w:hyperlink w:anchor="_3bb2329e213bf15758f4b79e27904375" w:history="1">
            <w:r>
              <w:t>Variazione di fondi per rischi e oneri e per TFR</w:t>
            </w:r>
            <w:r>
              <w:rPr>
                <w:webHidden/>
              </w:rPr>
              <w:tab/>
            </w:r>
            <w:r>
              <w:fldChar w:fldCharType="begin"/>
            </w:r>
            <w:r>
              <w:rPr>
                <w:webHidden/>
              </w:rPr>
              <w:instrText xml:space="preserve"> PAGEREF _3bb2329e213bf15758f4b79e27904375 \h </w:instrText>
            </w:r>
            <w:r>
              <w:fldChar w:fldCharType="separate"/>
            </w:r>
            <w:r>
              <w:rPr>
                <w:webHidden/>
              </w:rPr>
              <w:t>X</w:t>
            </w:r>
            <w:r>
              <w:fldChar w:fldCharType="end"/>
            </w:r>
          </w:hyperlink>
        </w:p>
        <w:p>
          <w:pPr>
            <w:pStyle w:val="TOC3"/>
            <w:tabs>
              <w:tab w:val="right" w:leader="dot" w:pos="10189"/>
            </w:tabs>
            <w:rPr>
              <w:b w:val="0"/>
              <w:noProof/>
            </w:rPr>
          </w:pPr>
          <w:hyperlink w:anchor="_98f90d0773446352d676b63da1fdd3c8" w:history="1">
            <w:r>
              <w:t>Flussi di cassa derivanti da investimenti operativi</w:t>
            </w:r>
            <w:r>
              <w:rPr>
                <w:webHidden/>
              </w:rPr>
              <w:tab/>
            </w:r>
            <w:r>
              <w:fldChar w:fldCharType="begin"/>
            </w:r>
            <w:r>
              <w:rPr>
                <w:webHidden/>
              </w:rPr>
              <w:instrText xml:space="preserve"> PAGEREF _98f90d0773446352d676b63da1fdd3c8 \h </w:instrText>
            </w:r>
            <w:r>
              <w:fldChar w:fldCharType="separate"/>
            </w:r>
            <w:r>
              <w:rPr>
                <w:webHidden/>
              </w:rPr>
              <w:t>X</w:t>
            </w:r>
            <w:r>
              <w:fldChar w:fldCharType="end"/>
            </w:r>
          </w:hyperlink>
        </w:p>
        <w:p>
          <w:pPr>
            <w:pStyle w:val="TOC2"/>
            <w:tabs>
              <w:tab w:val="right" w:leader="dot" w:pos="10189"/>
            </w:tabs>
            <w:rPr>
              <w:b w:val="0"/>
              <w:noProof/>
            </w:rPr>
          </w:pPr>
          <w:hyperlink w:anchor="_8b1460a54f2e9d4366c0d8d728c1a7bc" w:history="1">
            <w:r>
              <w:t>Flussi disponibili per il servizio del debito</w:t>
            </w:r>
            <w:r>
              <w:rPr>
                <w:webHidden/>
              </w:rPr>
              <w:tab/>
            </w:r>
            <w:r>
              <w:fldChar w:fldCharType="begin"/>
            </w:r>
            <w:r>
              <w:rPr>
                <w:webHidden/>
              </w:rPr>
              <w:instrText xml:space="preserve"> PAGEREF _8b1460a54f2e9d4366c0d8d728c1a7bc \h </w:instrText>
            </w:r>
            <w:r>
              <w:fldChar w:fldCharType="separate"/>
            </w:r>
            <w:r>
              <w:rPr>
                <w:webHidden/>
              </w:rPr>
              <w:t>X</w:t>
            </w:r>
            <w:r>
              <w:fldChar w:fldCharType="end"/>
            </w:r>
          </w:hyperlink>
        </w:p>
        <w:p>
          <w:pPr>
            <w:pStyle w:val="TOC3"/>
            <w:tabs>
              <w:tab w:val="right" w:leader="dot" w:pos="10189"/>
            </w:tabs>
            <w:rPr>
              <w:b w:val="0"/>
              <w:noProof/>
            </w:rPr>
          </w:pPr>
          <w:hyperlink w:anchor="_4f015d4a3cfab4d561feea9b3fd7c1ac" w:history="1">
            <w:r>
              <w:t>Variazione delle attività finanziarie</w:t>
            </w:r>
            <w:r>
              <w:rPr>
                <w:webHidden/>
              </w:rPr>
              <w:tab/>
            </w:r>
            <w:r>
              <w:fldChar w:fldCharType="begin"/>
            </w:r>
            <w:r>
              <w:rPr>
                <w:webHidden/>
              </w:rPr>
              <w:instrText xml:space="preserve"> PAGEREF _4f015d4a3cfab4d561feea9b3fd7c1ac \h </w:instrText>
            </w:r>
            <w:r>
              <w:fldChar w:fldCharType="separate"/>
            </w:r>
            <w:r>
              <w:rPr>
                <w:webHidden/>
              </w:rPr>
              <w:t>X</w:t>
            </w:r>
            <w:r>
              <w:fldChar w:fldCharType="end"/>
            </w:r>
          </w:hyperlink>
        </w:p>
        <w:p>
          <w:pPr>
            <w:pStyle w:val="TOC2"/>
            <w:tabs>
              <w:tab w:val="right" w:leader="dot" w:pos="10189"/>
            </w:tabs>
            <w:rPr>
              <w:b w:val="0"/>
              <w:noProof/>
            </w:rPr>
          </w:pPr>
          <w:hyperlink w:anchor="_db23df38b65909aecd20efee277c2833" w:history="1">
            <w:r>
              <w:t>Flussi disponibili per i soci</w:t>
            </w:r>
            <w:r>
              <w:rPr>
                <w:webHidden/>
              </w:rPr>
              <w:tab/>
            </w:r>
            <w:r>
              <w:fldChar w:fldCharType="begin"/>
            </w:r>
            <w:r>
              <w:rPr>
                <w:webHidden/>
              </w:rPr>
              <w:instrText xml:space="preserve"> PAGEREF _db23df38b65909aecd20efee277c2833 \h </w:instrText>
            </w:r>
            <w:r>
              <w:fldChar w:fldCharType="separate"/>
            </w:r>
            <w:r>
              <w:rPr>
                <w:webHidden/>
              </w:rPr>
              <w:t>X</w:t>
            </w:r>
            <w:r>
              <w:fldChar w:fldCharType="end"/>
            </w:r>
          </w:hyperlink>
        </w:p>
        <w:p>
          <w:pPr>
            <w:pStyle w:val="TOC3"/>
            <w:tabs>
              <w:tab w:val="right" w:leader="dot" w:pos="10189"/>
            </w:tabs>
            <w:rPr>
              <w:b w:val="0"/>
              <w:noProof/>
            </w:rPr>
          </w:pPr>
          <w:hyperlink w:anchor="_b7bf493b788c2f1a1d4367a4674792b6" w:history="1">
            <w:r>
              <w:t>Variazione di debiti finanziari</w:t>
            </w:r>
            <w:r>
              <w:rPr>
                <w:webHidden/>
              </w:rPr>
              <w:tab/>
            </w:r>
            <w:r>
              <w:fldChar w:fldCharType="begin"/>
            </w:r>
            <w:r>
              <w:rPr>
                <w:webHidden/>
              </w:rPr>
              <w:instrText xml:space="preserve"> PAGEREF _b7bf493b788c2f1a1d4367a4674792b6 \h </w:instrText>
            </w:r>
            <w:r>
              <w:fldChar w:fldCharType="separate"/>
            </w:r>
            <w:r>
              <w:rPr>
                <w:webHidden/>
              </w:rPr>
              <w:t>X</w:t>
            </w:r>
            <w:r>
              <w:fldChar w:fldCharType="end"/>
            </w:r>
          </w:hyperlink>
        </w:p>
        <w:p>
          <w:pPr>
            <w:pStyle w:val="TOC2"/>
            <w:tabs>
              <w:tab w:val="right" w:leader="dot" w:pos="10189"/>
            </w:tabs>
            <w:rPr>
              <w:b w:val="0"/>
              <w:noProof/>
            </w:rPr>
          </w:pPr>
          <w:hyperlink w:anchor="_cbd5ad5f1c393b2da0cd9af97a25f753" w:history="1">
            <w:r>
              <w:t>Variazione delle disponibilità liquide</w:t>
            </w:r>
            <w:r>
              <w:rPr>
                <w:webHidden/>
              </w:rPr>
              <w:tab/>
            </w:r>
            <w:r>
              <w:fldChar w:fldCharType="begin"/>
            </w:r>
            <w:r>
              <w:rPr>
                <w:webHidden/>
              </w:rPr>
              <w:instrText xml:space="preserve"> PAGEREF _cbd5ad5f1c393b2da0cd9af97a25f753 \h </w:instrText>
            </w:r>
            <w:r>
              <w:fldChar w:fldCharType="separate"/>
            </w:r>
            <w:r>
              <w:rPr>
                <w:webHidden/>
              </w:rPr>
              <w:t>X</w:t>
            </w:r>
            <w:r>
              <w:fldChar w:fldCharType="end"/>
            </w:r>
          </w:hyperlink>
        </w:p>
        <w:p>
          <w:pPr>
            <w:pStyle w:val="TOC3"/>
            <w:tabs>
              <w:tab w:val="right" w:leader="dot" w:pos="10189"/>
            </w:tabs>
            <w:rPr>
              <w:b w:val="0"/>
              <w:noProof/>
            </w:rPr>
          </w:pPr>
          <w:hyperlink w:anchor="_66ddf205c559ee9e16e5bc1285a4e902" w:history="1">
            <w:r>
              <w:t>Variazione di mezzi dei soci</w:t>
            </w:r>
            <w:r>
              <w:rPr>
                <w:webHidden/>
              </w:rPr>
              <w:tab/>
            </w:r>
            <w:r>
              <w:fldChar w:fldCharType="begin"/>
            </w:r>
            <w:r>
              <w:rPr>
                <w:webHidden/>
              </w:rPr>
              <w:instrText xml:space="preserve"> PAGEREF _66ddf205c559ee9e16e5bc1285a4e902 \h </w:instrText>
            </w:r>
            <w:r>
              <w:fldChar w:fldCharType="separate"/>
            </w:r>
            <w:r>
              <w:rPr>
                <w:webHidden/>
              </w:rPr>
              <w:t>X</w:t>
            </w:r>
            <w:r>
              <w:fldChar w:fldCharType="end"/>
            </w:r>
          </w:hyperlink>
        </w:p>
        <w:p>
          <w:pPr>
            <w:pStyle w:val="TOC1"/>
            <w:tabs>
              <w:tab w:val="right" w:leader="dot" w:pos="10189"/>
            </w:tabs>
            <w:rPr>
              <w:b w:val="0"/>
              <w:noProof/>
            </w:rPr>
          </w:pPr>
          <w:hyperlink w:anchor="_0d53367c318bd876ebc517678bf6612b" w:history="1">
            <w:r>
              <w:t>Analisi indici di performance</w:t>
            </w:r>
            <w:r>
              <w:rPr>
                <w:webHidden/>
              </w:rPr>
              <w:tab/>
            </w:r>
            <w:r>
              <w:fldChar w:fldCharType="begin"/>
            </w:r>
            <w:r>
              <w:rPr>
                <w:webHidden/>
              </w:rPr>
              <w:instrText xml:space="preserve"> PAGEREF _0d53367c318bd876ebc517678bf6612b \h </w:instrText>
            </w:r>
            <w:r>
              <w:fldChar w:fldCharType="separate"/>
            </w:r>
            <w:r>
              <w:rPr>
                <w:webHidden/>
              </w:rPr>
              <w:t>X</w:t>
            </w:r>
            <w:r>
              <w:fldChar w:fldCharType="end"/>
            </w:r>
          </w:hyperlink>
        </w:p>
        <w:p>
          <w:pPr>
            <w:pStyle w:val="TOC2"/>
            <w:tabs>
              <w:tab w:val="right" w:leader="dot" w:pos="10189"/>
            </w:tabs>
            <w:rPr>
              <w:b w:val="0"/>
              <w:noProof/>
            </w:rPr>
          </w:pPr>
          <w:hyperlink w:anchor="_0f3b292a8809b831bead4385a8473c5d" w:history="1">
            <w:r>
              <w:t>Analisi di solidità</w:t>
            </w:r>
            <w:r>
              <w:rPr>
                <w:webHidden/>
              </w:rPr>
              <w:tab/>
            </w:r>
            <w:r>
              <w:fldChar w:fldCharType="begin"/>
            </w:r>
            <w:r>
              <w:rPr>
                <w:webHidden/>
              </w:rPr>
              <w:instrText xml:space="preserve"> PAGEREF _0f3b292a8809b831bead4385a8473c5d \h </w:instrText>
            </w:r>
            <w:r>
              <w:fldChar w:fldCharType="separate"/>
            </w:r>
            <w:r>
              <w:rPr>
                <w:webHidden/>
              </w:rPr>
              <w:t>X</w:t>
            </w:r>
            <w:r>
              <w:fldChar w:fldCharType="end"/>
            </w:r>
          </w:hyperlink>
        </w:p>
        <w:p>
          <w:pPr>
            <w:pStyle w:val="TOC3"/>
            <w:tabs>
              <w:tab w:val="right" w:leader="dot" w:pos="10189"/>
            </w:tabs>
            <w:rPr>
              <w:b w:val="0"/>
              <w:noProof/>
            </w:rPr>
          </w:pPr>
          <w:hyperlink w:anchor="_8c3005b3c09f5760607a45a351e2f999" w:history="1">
            <w:r>
              <w:t>Indice di indebitamento</w:t>
            </w:r>
            <w:r>
              <w:rPr>
                <w:webHidden/>
              </w:rPr>
              <w:tab/>
            </w:r>
            <w:r>
              <w:fldChar w:fldCharType="begin"/>
            </w:r>
            <w:r>
              <w:rPr>
                <w:webHidden/>
              </w:rPr>
              <w:instrText xml:space="preserve"> PAGEREF _8c3005b3c09f5760607a45a351e2f999 \h </w:instrText>
            </w:r>
            <w:r>
              <w:fldChar w:fldCharType="separate"/>
            </w:r>
            <w:r>
              <w:rPr>
                <w:webHidden/>
              </w:rPr>
              <w:t>X</w:t>
            </w:r>
            <w:r>
              <w:fldChar w:fldCharType="end"/>
            </w:r>
          </w:hyperlink>
        </w:p>
        <w:p>
          <w:pPr>
            <w:pStyle w:val="TOC3"/>
            <w:tabs>
              <w:tab w:val="right" w:leader="dot" w:pos="10189"/>
            </w:tabs>
            <w:rPr>
              <w:b w:val="0"/>
              <w:noProof/>
            </w:rPr>
          </w:pPr>
          <w:hyperlink w:anchor="_49ca69d0353cd3a5c278923ea31f2b03" w:history="1">
            <w:r>
              <w:t>Indice di indebitamento oneroso</w:t>
            </w:r>
            <w:r>
              <w:rPr>
                <w:webHidden/>
              </w:rPr>
              <w:tab/>
            </w:r>
            <w:r>
              <w:fldChar w:fldCharType="begin"/>
            </w:r>
            <w:r>
              <w:rPr>
                <w:webHidden/>
              </w:rPr>
              <w:instrText xml:space="preserve"> PAGEREF _49ca69d0353cd3a5c278923ea31f2b03 \h </w:instrText>
            </w:r>
            <w:r>
              <w:fldChar w:fldCharType="separate"/>
            </w:r>
            <w:r>
              <w:rPr>
                <w:webHidden/>
              </w:rPr>
              <w:t>X</w:t>
            </w:r>
            <w:r>
              <w:fldChar w:fldCharType="end"/>
            </w:r>
          </w:hyperlink>
        </w:p>
        <w:p>
          <w:pPr>
            <w:pStyle w:val="TOC3"/>
            <w:tabs>
              <w:tab w:val="right" w:leader="dot" w:pos="10189"/>
            </w:tabs>
            <w:rPr>
              <w:b w:val="0"/>
              <w:noProof/>
            </w:rPr>
          </w:pPr>
          <w:hyperlink w:anchor="_c173c0b636909b3228523c9727c0548e" w:history="1">
            <w:r>
              <w:t>Indice della capacità di rimborso del debito finanziario</w:t>
            </w:r>
            <w:r>
              <w:rPr>
                <w:webHidden/>
              </w:rPr>
              <w:tab/>
            </w:r>
            <w:r>
              <w:fldChar w:fldCharType="begin"/>
            </w:r>
            <w:r>
              <w:rPr>
                <w:webHidden/>
              </w:rPr>
              <w:instrText xml:space="preserve"> PAGEREF _c173c0b636909b3228523c9727c0548e \h </w:instrText>
            </w:r>
            <w:r>
              <w:fldChar w:fldCharType="separate"/>
            </w:r>
            <w:r>
              <w:rPr>
                <w:webHidden/>
              </w:rPr>
              <w:t>X</w:t>
            </w:r>
            <w:r>
              <w:fldChar w:fldCharType="end"/>
            </w:r>
          </w:hyperlink>
        </w:p>
        <w:p>
          <w:pPr>
            <w:pStyle w:val="TOC3"/>
            <w:tabs>
              <w:tab w:val="right" w:leader="dot" w:pos="10189"/>
            </w:tabs>
            <w:rPr>
              <w:b w:val="0"/>
              <w:noProof/>
            </w:rPr>
          </w:pPr>
          <w:hyperlink w:anchor="_429de681544df80a4c2d69ecf8e5521c" w:history="1">
            <w:r>
              <w:t>Indice di solidità patrimoniale</w:t>
            </w:r>
            <w:r>
              <w:rPr>
                <w:webHidden/>
              </w:rPr>
              <w:tab/>
            </w:r>
            <w:r>
              <w:fldChar w:fldCharType="begin"/>
            </w:r>
            <w:r>
              <w:rPr>
                <w:webHidden/>
              </w:rPr>
              <w:instrText xml:space="preserve"> PAGEREF _429de681544df80a4c2d69ecf8e5521c \h </w:instrText>
            </w:r>
            <w:r>
              <w:fldChar w:fldCharType="separate"/>
            </w:r>
            <w:r>
              <w:rPr>
                <w:webHidden/>
              </w:rPr>
              <w:t>X</w:t>
            </w:r>
            <w:r>
              <w:fldChar w:fldCharType="end"/>
            </w:r>
          </w:hyperlink>
        </w:p>
        <w:p>
          <w:pPr>
            <w:pStyle w:val="TOC3"/>
            <w:tabs>
              <w:tab w:val="right" w:leader="dot" w:pos="10189"/>
            </w:tabs>
            <w:rPr>
              <w:b w:val="0"/>
              <w:noProof/>
            </w:rPr>
          </w:pPr>
          <w:hyperlink w:anchor="_e61c4e17d422efead408ae478d8bb266" w:history="1">
            <w:r>
              <w:t>Grado di obsolescenza delle immobilizzazioni materiali</w:t>
            </w:r>
            <w:r>
              <w:rPr>
                <w:webHidden/>
              </w:rPr>
              <w:tab/>
            </w:r>
            <w:r>
              <w:fldChar w:fldCharType="begin"/>
            </w:r>
            <w:r>
              <w:rPr>
                <w:webHidden/>
              </w:rPr>
              <w:instrText xml:space="preserve"> PAGEREF _e61c4e17d422efead408ae478d8bb266 \h </w:instrText>
            </w:r>
            <w:r>
              <w:fldChar w:fldCharType="separate"/>
            </w:r>
            <w:r>
              <w:rPr>
                <w:webHidden/>
              </w:rPr>
              <w:t>X</w:t>
            </w:r>
            <w:r>
              <w:fldChar w:fldCharType="end"/>
            </w:r>
          </w:hyperlink>
        </w:p>
        <w:p>
          <w:pPr>
            <w:pStyle w:val="TOC3"/>
            <w:tabs>
              <w:tab w:val="right" w:leader="dot" w:pos="10189"/>
            </w:tabs>
            <w:rPr>
              <w:b w:val="0"/>
              <w:noProof/>
            </w:rPr>
          </w:pPr>
          <w:hyperlink w:anchor="_5645bd7ade33f0d95cb3bb108c497b52" w:history="1">
            <w:r>
              <w:t>Costo medio dei debiti finanziari</w:t>
            </w:r>
            <w:r>
              <w:rPr>
                <w:webHidden/>
              </w:rPr>
              <w:tab/>
            </w:r>
            <w:r>
              <w:fldChar w:fldCharType="begin"/>
            </w:r>
            <w:r>
              <w:rPr>
                <w:webHidden/>
              </w:rPr>
              <w:instrText xml:space="preserve"> PAGEREF _5645bd7ade33f0d95cb3bb108c497b52 \h </w:instrText>
            </w:r>
            <w:r>
              <w:fldChar w:fldCharType="separate"/>
            </w:r>
            <w:r>
              <w:rPr>
                <w:webHidden/>
              </w:rPr>
              <w:t>X</w:t>
            </w:r>
            <w:r>
              <w:fldChar w:fldCharType="end"/>
            </w:r>
          </w:hyperlink>
        </w:p>
        <w:p>
          <w:pPr>
            <w:pStyle w:val="TOC2"/>
            <w:tabs>
              <w:tab w:val="right" w:leader="dot" w:pos="10189"/>
            </w:tabs>
            <w:rPr>
              <w:b w:val="0"/>
              <w:noProof/>
            </w:rPr>
          </w:pPr>
          <w:hyperlink w:anchor="_cadf5f01fbaebd19bbd99dae172dc304" w:history="1">
            <w:r>
              <w:t>Analisi di redditività</w:t>
            </w:r>
            <w:r>
              <w:rPr>
                <w:webHidden/>
              </w:rPr>
              <w:tab/>
            </w:r>
            <w:r>
              <w:fldChar w:fldCharType="begin"/>
            </w:r>
            <w:r>
              <w:rPr>
                <w:webHidden/>
              </w:rPr>
              <w:instrText xml:space="preserve"> PAGEREF _cadf5f01fbaebd19bbd99dae172dc304 \h </w:instrText>
            </w:r>
            <w:r>
              <w:fldChar w:fldCharType="separate"/>
            </w:r>
            <w:r>
              <w:rPr>
                <w:webHidden/>
              </w:rPr>
              <w:t>X</w:t>
            </w:r>
            <w:r>
              <w:fldChar w:fldCharType="end"/>
            </w:r>
          </w:hyperlink>
        </w:p>
        <w:p>
          <w:pPr>
            <w:pStyle w:val="TOC3"/>
            <w:tabs>
              <w:tab w:val="right" w:leader="dot" w:pos="10189"/>
            </w:tabs>
            <w:rPr>
              <w:b w:val="0"/>
              <w:noProof/>
            </w:rPr>
          </w:pPr>
          <w:hyperlink w:anchor="_23aa5809ebd28791dba763ef3f8727b5" w:history="1">
            <w:r>
              <w:t>Return on equity (ROE)</w:t>
            </w:r>
            <w:r>
              <w:rPr>
                <w:webHidden/>
              </w:rPr>
              <w:tab/>
            </w:r>
            <w:r>
              <w:fldChar w:fldCharType="begin"/>
            </w:r>
            <w:r>
              <w:rPr>
                <w:webHidden/>
              </w:rPr>
              <w:instrText xml:space="preserve"> PAGEREF _23aa5809ebd28791dba763ef3f8727b5 \h </w:instrText>
            </w:r>
            <w:r>
              <w:fldChar w:fldCharType="separate"/>
            </w:r>
            <w:r>
              <w:rPr>
                <w:webHidden/>
              </w:rPr>
              <w:t>X</w:t>
            </w:r>
            <w:r>
              <w:fldChar w:fldCharType="end"/>
            </w:r>
          </w:hyperlink>
        </w:p>
        <w:p>
          <w:pPr>
            <w:pStyle w:val="TOC3"/>
            <w:tabs>
              <w:tab w:val="right" w:leader="dot" w:pos="10189"/>
            </w:tabs>
            <w:rPr>
              <w:b w:val="0"/>
              <w:noProof/>
            </w:rPr>
          </w:pPr>
          <w:hyperlink w:anchor="_9259b7fc69b6b708b55aaedae14a27a4" w:history="1">
            <w:r>
              <w:t>Return on investments (ROI)</w:t>
            </w:r>
            <w:r>
              <w:rPr>
                <w:webHidden/>
              </w:rPr>
              <w:tab/>
            </w:r>
            <w:r>
              <w:fldChar w:fldCharType="begin"/>
            </w:r>
            <w:r>
              <w:rPr>
                <w:webHidden/>
              </w:rPr>
              <w:instrText xml:space="preserve"> PAGEREF _9259b7fc69b6b708b55aaedae14a27a4 \h </w:instrText>
            </w:r>
            <w:r>
              <w:fldChar w:fldCharType="separate"/>
            </w:r>
            <w:r>
              <w:rPr>
                <w:webHidden/>
              </w:rPr>
              <w:t>X</w:t>
            </w:r>
            <w:r>
              <w:fldChar w:fldCharType="end"/>
            </w:r>
          </w:hyperlink>
        </w:p>
        <w:p>
          <w:pPr>
            <w:pStyle w:val="TOC3"/>
            <w:tabs>
              <w:tab w:val="right" w:leader="dot" w:pos="10189"/>
            </w:tabs>
            <w:rPr>
              <w:b w:val="0"/>
              <w:noProof/>
            </w:rPr>
          </w:pPr>
          <w:hyperlink w:anchor="_f5f14df94ce08958b5aa10be6e6d4c7d" w:history="1">
            <w:r>
              <w:t>Return on sales (ROS)</w:t>
            </w:r>
            <w:r>
              <w:rPr>
                <w:webHidden/>
              </w:rPr>
              <w:tab/>
            </w:r>
            <w:r>
              <w:fldChar w:fldCharType="begin"/>
            </w:r>
            <w:r>
              <w:rPr>
                <w:webHidden/>
              </w:rPr>
              <w:instrText xml:space="preserve"> PAGEREF _f5f14df94ce08958b5aa10be6e6d4c7d \h </w:instrText>
            </w:r>
            <w:r>
              <w:fldChar w:fldCharType="separate"/>
            </w:r>
            <w:r>
              <w:rPr>
                <w:webHidden/>
              </w:rPr>
              <w:t>X</w:t>
            </w:r>
            <w:r>
              <w:fldChar w:fldCharType="end"/>
            </w:r>
          </w:hyperlink>
        </w:p>
        <w:p>
          <w:pPr>
            <w:pStyle w:val="TOC3"/>
            <w:tabs>
              <w:tab w:val="right" w:leader="dot" w:pos="10189"/>
            </w:tabs>
            <w:rPr>
              <w:b w:val="0"/>
              <w:noProof/>
            </w:rPr>
          </w:pPr>
          <w:hyperlink w:anchor="_f59f2212b949d616d5399505a13623f9" w:history="1">
            <w:r>
              <w:t>Indice di rotazione del capitale investito netto</w:t>
            </w:r>
            <w:r>
              <w:rPr>
                <w:webHidden/>
              </w:rPr>
              <w:tab/>
            </w:r>
            <w:r>
              <w:fldChar w:fldCharType="begin"/>
            </w:r>
            <w:r>
              <w:rPr>
                <w:webHidden/>
              </w:rPr>
              <w:instrText xml:space="preserve"> PAGEREF _f59f2212b949d616d5399505a13623f9 \h </w:instrText>
            </w:r>
            <w:r>
              <w:fldChar w:fldCharType="separate"/>
            </w:r>
            <w:r>
              <w:rPr>
                <w:webHidden/>
              </w:rPr>
              <w:t>X</w:t>
            </w:r>
            <w:r>
              <w:fldChar w:fldCharType="end"/>
            </w:r>
          </w:hyperlink>
        </w:p>
        <w:p>
          <w:pPr>
            <w:pStyle w:val="TOC2"/>
            <w:tabs>
              <w:tab w:val="right" w:leader="dot" w:pos="10189"/>
            </w:tabs>
            <w:rPr>
              <w:b w:val="0"/>
              <w:noProof/>
            </w:rPr>
          </w:pPr>
          <w:hyperlink w:anchor="_ff8ef6b544b09c8d4758a2fca02f3ff0" w:history="1">
            <w:r>
              <w:t>Analisi di liquidità</w:t>
            </w:r>
            <w:r>
              <w:rPr>
                <w:webHidden/>
              </w:rPr>
              <w:tab/>
            </w:r>
            <w:r>
              <w:fldChar w:fldCharType="begin"/>
            </w:r>
            <w:r>
              <w:rPr>
                <w:webHidden/>
              </w:rPr>
              <w:instrText xml:space="preserve"> PAGEREF _ff8ef6b544b09c8d4758a2fca02f3ff0 \h </w:instrText>
            </w:r>
            <w:r>
              <w:fldChar w:fldCharType="separate"/>
            </w:r>
            <w:r>
              <w:rPr>
                <w:webHidden/>
              </w:rPr>
              <w:t>X</w:t>
            </w:r>
            <w:r>
              <w:fldChar w:fldCharType="end"/>
            </w:r>
          </w:hyperlink>
        </w:p>
        <w:p>
          <w:pPr>
            <w:pStyle w:val="TOC3"/>
            <w:tabs>
              <w:tab w:val="right" w:leader="dot" w:pos="10189"/>
            </w:tabs>
            <w:rPr>
              <w:b w:val="0"/>
              <w:noProof/>
            </w:rPr>
          </w:pPr>
          <w:hyperlink w:anchor="_688d6c36934ea829bf2f9004bb91207c" w:history="1">
            <w:r>
              <w:t>Indice di liquidità primaria</w:t>
            </w:r>
            <w:r>
              <w:rPr>
                <w:webHidden/>
              </w:rPr>
              <w:tab/>
            </w:r>
            <w:r>
              <w:fldChar w:fldCharType="begin"/>
            </w:r>
            <w:r>
              <w:rPr>
                <w:webHidden/>
              </w:rPr>
              <w:instrText xml:space="preserve"> PAGEREF _688d6c36934ea829bf2f9004bb91207c \h </w:instrText>
            </w:r>
            <w:r>
              <w:fldChar w:fldCharType="separate"/>
            </w:r>
            <w:r>
              <w:rPr>
                <w:webHidden/>
              </w:rPr>
              <w:t>X</w:t>
            </w:r>
            <w:r>
              <w:fldChar w:fldCharType="end"/>
            </w:r>
          </w:hyperlink>
        </w:p>
        <w:p>
          <w:pPr>
            <w:pStyle w:val="TOC3"/>
            <w:tabs>
              <w:tab w:val="right" w:leader="dot" w:pos="10189"/>
            </w:tabs>
            <w:rPr>
              <w:b w:val="0"/>
              <w:noProof/>
            </w:rPr>
          </w:pPr>
          <w:hyperlink w:anchor="_736b44849e5e1721ff85cdee2b58ba80" w:history="1">
            <w:r>
              <w:t>Indice di liquidità secondaria</w:t>
            </w:r>
            <w:r>
              <w:rPr>
                <w:webHidden/>
              </w:rPr>
              <w:tab/>
            </w:r>
            <w:r>
              <w:fldChar w:fldCharType="begin"/>
            </w:r>
            <w:r>
              <w:rPr>
                <w:webHidden/>
              </w:rPr>
              <w:instrText xml:space="preserve"> PAGEREF _736b44849e5e1721ff85cdee2b58ba80 \h </w:instrText>
            </w:r>
            <w:r>
              <w:fldChar w:fldCharType="separate"/>
            </w:r>
            <w:r>
              <w:rPr>
                <w:webHidden/>
              </w:rPr>
              <w:t>X</w:t>
            </w:r>
            <w:r>
              <w:fldChar w:fldCharType="end"/>
            </w:r>
          </w:hyperlink>
        </w:p>
        <w:p>
          <w:pPr>
            <w:pStyle w:val="TOC3"/>
            <w:tabs>
              <w:tab w:val="right" w:leader="dot" w:pos="10189"/>
            </w:tabs>
            <w:rPr>
              <w:b w:val="0"/>
              <w:noProof/>
            </w:rPr>
          </w:pPr>
          <w:hyperlink w:anchor="_3cae6402df1f1be1c5cbd1f6c68b09f8" w:history="1">
            <w:r>
              <w:t>Durata media crediti commerciali</w:t>
            </w:r>
            <w:r>
              <w:rPr>
                <w:webHidden/>
              </w:rPr>
              <w:tab/>
            </w:r>
            <w:r>
              <w:fldChar w:fldCharType="begin"/>
            </w:r>
            <w:r>
              <w:rPr>
                <w:webHidden/>
              </w:rPr>
              <w:instrText xml:space="preserve"> PAGEREF _3cae6402df1f1be1c5cbd1f6c68b09f8 \h </w:instrText>
            </w:r>
            <w:r>
              <w:fldChar w:fldCharType="separate"/>
            </w:r>
            <w:r>
              <w:rPr>
                <w:webHidden/>
              </w:rPr>
              <w:t>X</w:t>
            </w:r>
            <w:r>
              <w:fldChar w:fldCharType="end"/>
            </w:r>
          </w:hyperlink>
        </w:p>
        <w:p>
          <w:pPr>
            <w:pStyle w:val="TOC3"/>
            <w:tabs>
              <w:tab w:val="right" w:leader="dot" w:pos="10189"/>
            </w:tabs>
            <w:rPr>
              <w:b w:val="0"/>
              <w:noProof/>
            </w:rPr>
          </w:pPr>
          <w:hyperlink w:anchor="_82efaf9049637c50f4b4771258eab1e7" w:history="1">
            <w:r>
              <w:t>Durata media debiti commerciali</w:t>
            </w:r>
            <w:r>
              <w:rPr>
                <w:webHidden/>
              </w:rPr>
              <w:tab/>
            </w:r>
            <w:r>
              <w:fldChar w:fldCharType="begin"/>
            </w:r>
            <w:r>
              <w:rPr>
                <w:webHidden/>
              </w:rPr>
              <w:instrText xml:space="preserve"> PAGEREF _82efaf9049637c50f4b4771258eab1e7 \h </w:instrText>
            </w:r>
            <w:r>
              <w:fldChar w:fldCharType="separate"/>
            </w:r>
            <w:r>
              <w:rPr>
                <w:webHidden/>
              </w:rPr>
              <w:t>X</w:t>
            </w:r>
            <w:r>
              <w:fldChar w:fldCharType="end"/>
            </w:r>
          </w:hyperlink>
        </w:p>
        <w:p>
          <w:pPr>
            <w:pStyle w:val="TOC3"/>
            <w:tabs>
              <w:tab w:val="right" w:leader="dot" w:pos="10189"/>
            </w:tabs>
            <w:rPr>
              <w:b w:val="0"/>
              <w:noProof/>
            </w:rPr>
          </w:pPr>
          <w:hyperlink w:anchor="_ce4cb9573ab0a791619b88a681925453" w:history="1">
            <w:r>
              <w:t>Durata media delle scorte di magazzino</w:t>
            </w:r>
            <w:r>
              <w:rPr>
                <w:webHidden/>
              </w:rPr>
              <w:tab/>
            </w:r>
            <w:r>
              <w:fldChar w:fldCharType="begin"/>
            </w:r>
            <w:r>
              <w:rPr>
                <w:webHidden/>
              </w:rPr>
              <w:instrText xml:space="preserve"> PAGEREF _ce4cb9573ab0a791619b88a681925453 \h </w:instrText>
            </w:r>
            <w:r>
              <w:fldChar w:fldCharType="separate"/>
            </w:r>
            <w:r>
              <w:rPr>
                <w:webHidden/>
              </w:rPr>
              <w:t>X</w:t>
            </w:r>
            <w:r>
              <w:fldChar w:fldCharType="end"/>
            </w:r>
          </w:hyperlink>
        </w:p>
        <w:p>
          <w:pPr>
            <w:pStyle w:val="TOC3"/>
            <w:tabs>
              <w:tab w:val="right" w:leader="dot" w:pos="10189"/>
            </w:tabs>
            <w:rPr>
              <w:b w:val="0"/>
              <w:noProof/>
            </w:rPr>
          </w:pPr>
          <w:hyperlink w:anchor="_807b590fe44de9a66ec0acf4e9a00473" w:history="1">
            <w:r>
              <w:t>Durata media ciclo commerciale</w:t>
            </w:r>
            <w:r>
              <w:rPr>
                <w:webHidden/>
              </w:rPr>
              <w:tab/>
            </w:r>
            <w:r>
              <w:fldChar w:fldCharType="begin"/>
            </w:r>
            <w:r>
              <w:rPr>
                <w:webHidden/>
              </w:rPr>
              <w:instrText xml:space="preserve"> PAGEREF _807b590fe44de9a66ec0acf4e9a00473 \h </w:instrText>
            </w:r>
            <w:r>
              <w:fldChar w:fldCharType="separate"/>
            </w:r>
            <w:r>
              <w:rPr>
                <w:webHidden/>
              </w:rPr>
              <w:t>X</w:t>
            </w:r>
            <w:r>
              <w:fldChar w:fldCharType="end"/>
            </w:r>
          </w:hyperlink>
        </w:p>
        <w:p>
          <w:pPr>
            <w:pStyle w:val="TOC3"/>
            <w:tabs>
              <w:tab w:val="right" w:leader="dot" w:pos="10189"/>
            </w:tabs>
            <w:rPr>
              <w:b w:val="0"/>
              <w:noProof/>
            </w:rPr>
          </w:pPr>
          <w:hyperlink w:anchor="_fa4749082290bd617c162fbbe61b37af" w:history="1">
            <w:r>
              <w:t>Cash coverage delle passività correnti</w:t>
            </w:r>
            <w:r>
              <w:rPr>
                <w:webHidden/>
              </w:rPr>
              <w:tab/>
            </w:r>
            <w:r>
              <w:fldChar w:fldCharType="begin"/>
            </w:r>
            <w:r>
              <w:rPr>
                <w:webHidden/>
              </w:rPr>
              <w:instrText xml:space="preserve"> PAGEREF _fa4749082290bd617c162fbbe61b37af \h </w:instrText>
            </w:r>
            <w:r>
              <w:fldChar w:fldCharType="separate"/>
            </w:r>
            <w:r>
              <w:rPr>
                <w:webHidden/>
              </w:rPr>
              <w:t>X</w:t>
            </w:r>
            <w:r>
              <w:fldChar w:fldCharType="end"/>
            </w:r>
          </w:hyperlink>
        </w:p>
        <w:p>
          <w:pPr>
            <w:pStyle w:val="TOC3"/>
            <w:tabs>
              <w:tab w:val="right" w:leader="dot" w:pos="10189"/>
            </w:tabs>
            <w:rPr>
              <w:b w:val="0"/>
              <w:noProof/>
            </w:rPr>
          </w:pPr>
          <w:hyperlink w:anchor="_78b366b12e67001dff5769ca5fabd776" w:history="1">
            <w:r>
              <w:t>Cash coverage dei ricavi</w:t>
            </w:r>
            <w:r>
              <w:rPr>
                <w:webHidden/>
              </w:rPr>
              <w:tab/>
            </w:r>
            <w:r>
              <w:fldChar w:fldCharType="begin"/>
            </w:r>
            <w:r>
              <w:rPr>
                <w:webHidden/>
              </w:rPr>
              <w:instrText xml:space="preserve"> PAGEREF _78b366b12e67001dff5769ca5fabd776 \h </w:instrText>
            </w:r>
            <w:r>
              <w:fldChar w:fldCharType="separate"/>
            </w:r>
            <w:r>
              <w:rPr>
                <w:webHidden/>
              </w:rPr>
              <w:t>X</w:t>
            </w:r>
            <w:r>
              <w:fldChar w:fldCharType="end"/>
            </w:r>
          </w:hyperlink>
        </w:p>
        <w:p>
          <w:pPr>
            <w:pStyle w:val="TOC1"/>
            <w:tabs>
              <w:tab w:val="right" w:leader="dot" w:pos="10189"/>
            </w:tabs>
            <w:rPr>
              <w:b w:val="0"/>
              <w:noProof/>
            </w:rPr>
          </w:pPr>
          <w:hyperlink w:anchor="_95cb073b6c97af021bd47e55953bcb31" w:history="1">
            <w:r>
              <w:t>Analisi indici di allerta</w:t>
            </w:r>
            <w:r>
              <w:rPr>
                <w:webHidden/>
              </w:rPr>
              <w:tab/>
            </w:r>
            <w:r>
              <w:fldChar w:fldCharType="begin"/>
            </w:r>
            <w:r>
              <w:rPr>
                <w:webHidden/>
              </w:rPr>
              <w:instrText xml:space="preserve"> PAGEREF _95cb073b6c97af021bd47e55953bcb31 \h </w:instrText>
            </w:r>
            <w:r>
              <w:fldChar w:fldCharType="separate"/>
            </w:r>
            <w:r>
              <w:rPr>
                <w:webHidden/>
              </w:rPr>
              <w:t>X</w:t>
            </w:r>
            <w:r>
              <w:fldChar w:fldCharType="end"/>
            </w:r>
          </w:hyperlink>
        </w:p>
        <w:p>
          <w:pPr>
            <w:pStyle w:val="TOC2"/>
            <w:tabs>
              <w:tab w:val="right" w:leader="dot" w:pos="10189"/>
            </w:tabs>
            <w:rPr>
              <w:b w:val="0"/>
              <w:noProof/>
            </w:rPr>
          </w:pPr>
          <w:hyperlink w:anchor="_51286b09cb8d9363e1ca1ccb7d24427e" w:history="1">
            <w:r>
              <w:t>Livello 1: Patrimonio netto negativo</w:t>
            </w:r>
            <w:r>
              <w:rPr>
                <w:webHidden/>
              </w:rPr>
              <w:tab/>
            </w:r>
            <w:r>
              <w:fldChar w:fldCharType="begin"/>
            </w:r>
            <w:r>
              <w:rPr>
                <w:webHidden/>
              </w:rPr>
              <w:instrText xml:space="preserve"> PAGEREF _51286b09cb8d9363e1ca1ccb7d24427e \h </w:instrText>
            </w:r>
            <w:r>
              <w:fldChar w:fldCharType="separate"/>
            </w:r>
            <w:r>
              <w:rPr>
                <w:webHidden/>
              </w:rPr>
              <w:t>X</w:t>
            </w:r>
            <w:r>
              <w:fldChar w:fldCharType="end"/>
            </w:r>
          </w:hyperlink>
        </w:p>
        <w:p>
          <w:pPr>
            <w:pStyle w:val="TOC2"/>
            <w:tabs>
              <w:tab w:val="right" w:leader="dot" w:pos="10189"/>
            </w:tabs>
            <w:rPr>
              <w:b w:val="0"/>
              <w:noProof/>
            </w:rPr>
          </w:pPr>
          <w:hyperlink w:anchor="_6cd786a9bca77e3c1ac3a40055737504" w:history="1">
            <w:r>
              <w:t>Livello 2: DSCR (debt service coverage ratio)</w:t>
            </w:r>
            <w:r>
              <w:rPr>
                <w:webHidden/>
              </w:rPr>
              <w:tab/>
            </w:r>
            <w:r>
              <w:fldChar w:fldCharType="begin"/>
            </w:r>
            <w:r>
              <w:rPr>
                <w:webHidden/>
              </w:rPr>
              <w:instrText xml:space="preserve"> PAGEREF _6cd786a9bca77e3c1ac3a40055737504 \h </w:instrText>
            </w:r>
            <w:r>
              <w:fldChar w:fldCharType="separate"/>
            </w:r>
            <w:r>
              <w:rPr>
                <w:webHidden/>
              </w:rPr>
              <w:t>X</w:t>
            </w:r>
            <w:r>
              <w:fldChar w:fldCharType="end"/>
            </w:r>
          </w:hyperlink>
        </w:p>
        <w:p>
          <w:pPr>
            <w:pStyle w:val="TOC2"/>
            <w:tabs>
              <w:tab w:val="right" w:leader="dot" w:pos="10189"/>
            </w:tabs>
            <w:rPr>
              <w:b w:val="0"/>
              <w:noProof/>
            </w:rPr>
          </w:pPr>
          <w:hyperlink w:anchor="_997ee1d29c7de361c69d6619a9db54a3" w:history="1">
            <w:r>
              <w:t>Livello 3: Indici di settore</w:t>
            </w:r>
            <w:r>
              <w:rPr>
                <w:webHidden/>
              </w:rPr>
              <w:tab/>
            </w:r>
            <w:r>
              <w:fldChar w:fldCharType="begin"/>
            </w:r>
            <w:r>
              <w:rPr>
                <w:webHidden/>
              </w:rPr>
              <w:instrText xml:space="preserve"> PAGEREF _997ee1d29c7de361c69d6619a9db54a3 \h </w:instrText>
            </w:r>
            <w:r>
              <w:fldChar w:fldCharType="separate"/>
            </w:r>
            <w:r>
              <w:rPr>
                <w:webHidden/>
              </w:rPr>
              <w:t>X</w:t>
            </w:r>
            <w:r>
              <w:fldChar w:fldCharType="end"/>
            </w:r>
          </w:hyperlink>
        </w:p>
        <w:p>
          <w:pPr>
            <w:pStyle w:val="TOC1"/>
            <w:tabs>
              <w:tab w:val="right" w:leader="dot" w:pos="10189"/>
            </w:tabs>
            <w:rPr>
              <w:b w:val="0"/>
              <w:noProof/>
            </w:rPr>
          </w:pPr>
          <w:hyperlink w:anchor="_cd37ee0b7c8812bb05d4c676d6de0a8a" w:history="1">
            <w:r>
              <w:t>Merito creditizio</w:t>
            </w:r>
            <w:r>
              <w:rPr>
                <w:webHidden/>
              </w:rPr>
              <w:tab/>
            </w:r>
            <w:r>
              <w:fldChar w:fldCharType="begin"/>
            </w:r>
            <w:r>
              <w:rPr>
                <w:webHidden/>
              </w:rPr>
              <w:instrText xml:space="preserve"> PAGEREF _cd37ee0b7c8812bb05d4c676d6de0a8a \h </w:instrText>
            </w:r>
            <w:r>
              <w:fldChar w:fldCharType="separate"/>
            </w:r>
            <w:r>
              <w:rPr>
                <w:webHidden/>
              </w:rPr>
              <w:t>X</w:t>
            </w:r>
            <w:r>
              <w:fldChar w:fldCharType="end"/>
            </w:r>
          </w:hyperlink>
        </w:p>
        <w:p>
          <w:pPr>
            <w:pStyle w:val="TOC2"/>
            <w:tabs>
              <w:tab w:val="right" w:leader="dot" w:pos="10189"/>
            </w:tabs>
            <w:rPr>
              <w:b w:val="0"/>
              <w:noProof/>
            </w:rPr>
          </w:pPr>
          <w:hyperlink w:anchor="_a76dd15472eebb9db640ca08ce72fcd4" w:history="1">
            <w:r>
              <w:t>Modulo economico-finanziario</w:t>
            </w:r>
            <w:r>
              <w:rPr>
                <w:webHidden/>
              </w:rPr>
              <w:tab/>
            </w:r>
            <w:r>
              <w:fldChar w:fldCharType="begin"/>
            </w:r>
            <w:r>
              <w:rPr>
                <w:webHidden/>
              </w:rPr>
              <w:instrText xml:space="preserve"> PAGEREF _a76dd15472eebb9db640ca08ce72fcd4 \h </w:instrText>
            </w:r>
            <w:r>
              <w:fldChar w:fldCharType="separate"/>
            </w:r>
            <w:r>
              <w:rPr>
                <w:webHidden/>
              </w:rPr>
              <w:t>X</w:t>
            </w:r>
            <w:r>
              <w:fldChar w:fldCharType="end"/>
            </w:r>
          </w:hyperlink>
        </w:p>
        <w:p>
          <w:pPr>
            <w:pStyle w:val="TOC2"/>
            <w:tabs>
              <w:tab w:val="right" w:leader="dot" w:pos="10189"/>
            </w:tabs>
            <w:rPr>
              <w:b w:val="0"/>
              <w:noProof/>
            </w:rPr>
          </w:pPr>
          <w:hyperlink w:anchor="_a7c2cd2e5cc651ec66a952959e7a1f51" w:history="1">
            <w:r>
              <w:t>Modulo andamentale - Centrale rischi</w:t>
            </w:r>
            <w:r>
              <w:rPr>
                <w:webHidden/>
              </w:rPr>
              <w:tab/>
            </w:r>
            <w:r>
              <w:fldChar w:fldCharType="begin"/>
            </w:r>
            <w:r>
              <w:rPr>
                <w:webHidden/>
              </w:rPr>
              <w:instrText xml:space="preserve"> PAGEREF _a7c2cd2e5cc651ec66a952959e7a1f51 \h </w:instrText>
            </w:r>
            <w:r>
              <w:fldChar w:fldCharType="separate"/>
            </w:r>
            <w:r>
              <w:rPr>
                <w:webHidden/>
              </w:rPr>
              <w:t>X</w:t>
            </w:r>
            <w:r>
              <w:fldChar w:fldCharType="end"/>
            </w:r>
          </w:hyperlink>
        </w:p>
        <w:p>
          <w:pPr>
            <w:pStyle w:val="TOC2"/>
            <w:tabs>
              <w:tab w:val="right" w:leader="dot" w:pos="10189"/>
            </w:tabs>
            <w:rPr>
              <w:b w:val="0"/>
              <w:noProof/>
            </w:rPr>
          </w:pPr>
          <w:hyperlink w:anchor="_80bdf37e92e4c8df4c3a8731227219d3" w:history="1">
            <w:r>
              <w:t>Valutazione del Merito creditizio</w:t>
            </w:r>
            <w:r>
              <w:rPr>
                <w:webHidden/>
              </w:rPr>
              <w:tab/>
            </w:r>
            <w:r>
              <w:fldChar w:fldCharType="begin"/>
            </w:r>
            <w:r>
              <w:rPr>
                <w:webHidden/>
              </w:rPr>
              <w:instrText xml:space="preserve"> PAGEREF _80bdf37e92e4c8df4c3a8731227219d3 \h </w:instrText>
            </w:r>
            <w:r>
              <w:fldChar w:fldCharType="separate"/>
            </w:r>
            <w:r>
              <w:rPr>
                <w:webHidden/>
              </w:rPr>
              <w:t>X</w:t>
            </w:r>
            <w:r>
              <w:fldChar w:fldCharType="end"/>
            </w:r>
          </w:hyperlink>
        </w:p>
        <w:p>
          <w:pPr>
            <w:pStyle w:val="TOC1"/>
            <w:tabs>
              <w:tab w:val="right" w:leader="dot" w:pos="10189"/>
            </w:tabs>
            <w:rPr>
              <w:b w:val="0"/>
              <w:noProof/>
            </w:rPr>
          </w:pPr>
          <w:hyperlink w:anchor="_6b308dce736c416fca35b868bcbe01bd" w:history="1">
            <w:r>
              <w:t>Formulario</w:t>
            </w:r>
            <w:r>
              <w:rPr>
                <w:webHidden/>
              </w:rPr>
              <w:tab/>
            </w:r>
            <w:r>
              <w:fldChar w:fldCharType="begin"/>
            </w:r>
            <w:r>
              <w:rPr>
                <w:webHidden/>
              </w:rPr>
              <w:instrText xml:space="preserve"> PAGEREF _6b308dce736c416fca35b868bcbe01bd \h </w:instrText>
            </w:r>
            <w:r>
              <w:fldChar w:fldCharType="separate"/>
            </w:r>
            <w:r>
              <w:rPr>
                <w:webHidden/>
              </w:rPr>
              <w:t>X</w:t>
            </w:r>
            <w:r>
              <w:fldChar w:fldCharType="end"/>
            </w:r>
          </w:hyperlink>
        </w:p>
        <w:p>
          <w:pPr>
            <w:pStyle w:val="TOC2"/>
            <w:tabs>
              <w:tab w:val="right" w:leader="dot" w:pos="10189"/>
            </w:tabs>
            <w:rPr>
              <w:b w:val="0"/>
              <w:noProof/>
            </w:rPr>
          </w:pPr>
          <w:hyperlink w:anchor="_1906148472c60dceaf733904f302abc1" w:history="1">
            <w:r>
              <w:t>Indici di performance</w:t>
            </w:r>
            <w:r>
              <w:rPr>
                <w:webHidden/>
              </w:rPr>
              <w:tab/>
            </w:r>
            <w:r>
              <w:fldChar w:fldCharType="begin"/>
            </w:r>
            <w:r>
              <w:rPr>
                <w:webHidden/>
              </w:rPr>
              <w:instrText xml:space="preserve"> PAGEREF _1906148472c60dceaf733904f302abc1 \h </w:instrText>
            </w:r>
            <w:r>
              <w:fldChar w:fldCharType="separate"/>
            </w:r>
            <w:r>
              <w:rPr>
                <w:webHidden/>
              </w:rPr>
              <w:t>X</w:t>
            </w:r>
            <w:r>
              <w:fldChar w:fldCharType="end"/>
            </w:r>
          </w:hyperlink>
        </w:p>
        <w:p>
          <w:pPr>
            <w:pStyle w:val="TOC3"/>
            <w:tabs>
              <w:tab w:val="right" w:leader="dot" w:pos="10189"/>
            </w:tabs>
            <w:rPr>
              <w:b w:val="0"/>
              <w:noProof/>
            </w:rPr>
          </w:pPr>
          <w:hyperlink w:anchor="_1fc6968ac3b0c8f6b163ee0e8b0bb047" w:history="1">
            <w:r>
              <w:t>Indici di solidità</w:t>
            </w:r>
            <w:r>
              <w:rPr>
                <w:webHidden/>
              </w:rPr>
              <w:tab/>
            </w:r>
            <w:r>
              <w:fldChar w:fldCharType="begin"/>
            </w:r>
            <w:r>
              <w:rPr>
                <w:webHidden/>
              </w:rPr>
              <w:instrText xml:space="preserve"> PAGEREF _1fc6968ac3b0c8f6b163ee0e8b0bb047 \h </w:instrText>
            </w:r>
            <w:r>
              <w:fldChar w:fldCharType="separate"/>
            </w:r>
            <w:r>
              <w:rPr>
                <w:webHidden/>
              </w:rPr>
              <w:t>X</w:t>
            </w:r>
            <w:r>
              <w:fldChar w:fldCharType="end"/>
            </w:r>
          </w:hyperlink>
        </w:p>
        <w:p>
          <w:pPr>
            <w:pStyle w:val="TOC4"/>
            <w:tabs>
              <w:tab w:val="right" w:leader="dot" w:pos="10189"/>
            </w:tabs>
            <w:rPr>
              <w:b w:val="0"/>
              <w:noProof/>
            </w:rPr>
          </w:pPr>
          <w:hyperlink w:anchor="_ecd45595e329e26aca7237fb48ec14d1" w:history="1">
            <w:r>
              <w:t>Indice di indebitamento</w:t>
            </w:r>
            <w:r>
              <w:rPr>
                <w:webHidden/>
              </w:rPr>
              <w:tab/>
            </w:r>
            <w:r>
              <w:fldChar w:fldCharType="begin"/>
            </w:r>
            <w:r>
              <w:rPr>
                <w:webHidden/>
              </w:rPr>
              <w:instrText xml:space="preserve"> PAGEREF _ecd45595e329e26aca7237fb48ec14d1 \h </w:instrText>
            </w:r>
            <w:r>
              <w:fldChar w:fldCharType="separate"/>
            </w:r>
            <w:r>
              <w:rPr>
                <w:webHidden/>
              </w:rPr>
              <w:t>X</w:t>
            </w:r>
            <w:r>
              <w:fldChar w:fldCharType="end"/>
            </w:r>
          </w:hyperlink>
        </w:p>
        <w:p>
          <w:pPr>
            <w:pStyle w:val="TOC4"/>
            <w:tabs>
              <w:tab w:val="right" w:leader="dot" w:pos="10189"/>
            </w:tabs>
            <w:rPr>
              <w:b w:val="0"/>
              <w:noProof/>
            </w:rPr>
          </w:pPr>
          <w:hyperlink w:anchor="_f9211a8f504e83f1e643246072bf8374" w:history="1">
            <w:r>
              <w:t>Indice di indebitamento oneroso</w:t>
            </w:r>
            <w:r>
              <w:rPr>
                <w:webHidden/>
              </w:rPr>
              <w:tab/>
            </w:r>
            <w:r>
              <w:fldChar w:fldCharType="begin"/>
            </w:r>
            <w:r>
              <w:rPr>
                <w:webHidden/>
              </w:rPr>
              <w:instrText xml:space="preserve"> PAGEREF _f9211a8f504e83f1e643246072bf8374 \h </w:instrText>
            </w:r>
            <w:r>
              <w:fldChar w:fldCharType="separate"/>
            </w:r>
            <w:r>
              <w:rPr>
                <w:webHidden/>
              </w:rPr>
              <w:t>X</w:t>
            </w:r>
            <w:r>
              <w:fldChar w:fldCharType="end"/>
            </w:r>
          </w:hyperlink>
        </w:p>
        <w:p>
          <w:pPr>
            <w:pStyle w:val="TOC4"/>
            <w:tabs>
              <w:tab w:val="right" w:leader="dot" w:pos="10189"/>
            </w:tabs>
            <w:rPr>
              <w:b w:val="0"/>
              <w:noProof/>
            </w:rPr>
          </w:pPr>
          <w:hyperlink w:anchor="_2f843a68a4386c6daa634a4575636c23" w:history="1">
            <w:r>
              <w:t>Indice della capacità di rimborso del debito finanziario</w:t>
            </w:r>
            <w:r>
              <w:rPr>
                <w:webHidden/>
              </w:rPr>
              <w:tab/>
            </w:r>
            <w:r>
              <w:fldChar w:fldCharType="begin"/>
            </w:r>
            <w:r>
              <w:rPr>
                <w:webHidden/>
              </w:rPr>
              <w:instrText xml:space="preserve"> PAGEREF _2f843a68a4386c6daa634a4575636c23 \h </w:instrText>
            </w:r>
            <w:r>
              <w:fldChar w:fldCharType="separate"/>
            </w:r>
            <w:r>
              <w:rPr>
                <w:webHidden/>
              </w:rPr>
              <w:t>X</w:t>
            </w:r>
            <w:r>
              <w:fldChar w:fldCharType="end"/>
            </w:r>
          </w:hyperlink>
        </w:p>
        <w:p>
          <w:pPr>
            <w:pStyle w:val="TOC4"/>
            <w:tabs>
              <w:tab w:val="right" w:leader="dot" w:pos="10189"/>
            </w:tabs>
            <w:rPr>
              <w:b w:val="0"/>
              <w:noProof/>
            </w:rPr>
          </w:pPr>
          <w:hyperlink w:anchor="_9f6bed19618cf5ebafbf20da99595e54" w:history="1">
            <w:r>
              <w:t>Indice di solidità patrimoniale</w:t>
            </w:r>
            <w:r>
              <w:rPr>
                <w:webHidden/>
              </w:rPr>
              <w:tab/>
            </w:r>
            <w:r>
              <w:fldChar w:fldCharType="begin"/>
            </w:r>
            <w:r>
              <w:rPr>
                <w:webHidden/>
              </w:rPr>
              <w:instrText xml:space="preserve"> PAGEREF _9f6bed19618cf5ebafbf20da99595e54 \h </w:instrText>
            </w:r>
            <w:r>
              <w:fldChar w:fldCharType="separate"/>
            </w:r>
            <w:r>
              <w:rPr>
                <w:webHidden/>
              </w:rPr>
              <w:t>X</w:t>
            </w:r>
            <w:r>
              <w:fldChar w:fldCharType="end"/>
            </w:r>
          </w:hyperlink>
        </w:p>
        <w:p>
          <w:pPr>
            <w:pStyle w:val="TOC4"/>
            <w:tabs>
              <w:tab w:val="right" w:leader="dot" w:pos="10189"/>
            </w:tabs>
            <w:rPr>
              <w:b w:val="0"/>
              <w:noProof/>
            </w:rPr>
          </w:pPr>
          <w:hyperlink w:anchor="_32a235aeb469582fa145992e26b76232" w:history="1">
            <w:r>
              <w:t>Grado di obsolescenza delle immobilizzazioni materiali</w:t>
            </w:r>
            <w:r>
              <w:rPr>
                <w:webHidden/>
              </w:rPr>
              <w:tab/>
            </w:r>
            <w:r>
              <w:fldChar w:fldCharType="begin"/>
            </w:r>
            <w:r>
              <w:rPr>
                <w:webHidden/>
              </w:rPr>
              <w:instrText xml:space="preserve"> PAGEREF _32a235aeb469582fa145992e26b76232 \h </w:instrText>
            </w:r>
            <w:r>
              <w:fldChar w:fldCharType="separate"/>
            </w:r>
            <w:r>
              <w:rPr>
                <w:webHidden/>
              </w:rPr>
              <w:t>X</w:t>
            </w:r>
            <w:r>
              <w:fldChar w:fldCharType="end"/>
            </w:r>
          </w:hyperlink>
        </w:p>
        <w:p>
          <w:pPr>
            <w:pStyle w:val="TOC4"/>
            <w:tabs>
              <w:tab w:val="right" w:leader="dot" w:pos="10189"/>
            </w:tabs>
            <w:rPr>
              <w:b w:val="0"/>
              <w:noProof/>
            </w:rPr>
          </w:pPr>
          <w:hyperlink w:anchor="_81c2c7cfcc67b30f9f107c289bb978a1" w:history="1">
            <w:r>
              <w:t>Costo medio dei debiti finanziari</w:t>
            </w:r>
            <w:r>
              <w:rPr>
                <w:webHidden/>
              </w:rPr>
              <w:tab/>
            </w:r>
            <w:r>
              <w:fldChar w:fldCharType="begin"/>
            </w:r>
            <w:r>
              <w:rPr>
                <w:webHidden/>
              </w:rPr>
              <w:instrText xml:space="preserve"> PAGEREF _81c2c7cfcc67b30f9f107c289bb978a1 \h </w:instrText>
            </w:r>
            <w:r>
              <w:fldChar w:fldCharType="separate"/>
            </w:r>
            <w:r>
              <w:rPr>
                <w:webHidden/>
              </w:rPr>
              <w:t>X</w:t>
            </w:r>
            <w:r>
              <w:fldChar w:fldCharType="end"/>
            </w:r>
          </w:hyperlink>
        </w:p>
        <w:p>
          <w:pPr>
            <w:pStyle w:val="TOC3"/>
            <w:tabs>
              <w:tab w:val="right" w:leader="dot" w:pos="10189"/>
            </w:tabs>
            <w:rPr>
              <w:b w:val="0"/>
              <w:noProof/>
            </w:rPr>
          </w:pPr>
          <w:hyperlink w:anchor="_e3a381dcc17a3507da22cbbb7dedd8c0" w:history="1">
            <w:r>
              <w:t>Indici di redditività</w:t>
            </w:r>
            <w:r>
              <w:rPr>
                <w:webHidden/>
              </w:rPr>
              <w:tab/>
            </w:r>
            <w:r>
              <w:fldChar w:fldCharType="begin"/>
            </w:r>
            <w:r>
              <w:rPr>
                <w:webHidden/>
              </w:rPr>
              <w:instrText xml:space="preserve"> PAGEREF _e3a381dcc17a3507da22cbbb7dedd8c0 \h </w:instrText>
            </w:r>
            <w:r>
              <w:fldChar w:fldCharType="separate"/>
            </w:r>
            <w:r>
              <w:rPr>
                <w:webHidden/>
              </w:rPr>
              <w:t>X</w:t>
            </w:r>
            <w:r>
              <w:fldChar w:fldCharType="end"/>
            </w:r>
          </w:hyperlink>
        </w:p>
        <w:p>
          <w:pPr>
            <w:pStyle w:val="TOC4"/>
            <w:tabs>
              <w:tab w:val="right" w:leader="dot" w:pos="10189"/>
            </w:tabs>
            <w:rPr>
              <w:b w:val="0"/>
              <w:noProof/>
            </w:rPr>
          </w:pPr>
          <w:hyperlink w:anchor="_249fbf8ea2d7820a50e9e85750c60e05" w:history="1">
            <w:r>
              <w:t>Return on equity (ROE)</w:t>
            </w:r>
            <w:r>
              <w:rPr>
                <w:webHidden/>
              </w:rPr>
              <w:tab/>
            </w:r>
            <w:r>
              <w:fldChar w:fldCharType="begin"/>
            </w:r>
            <w:r>
              <w:rPr>
                <w:webHidden/>
              </w:rPr>
              <w:instrText xml:space="preserve"> PAGEREF _249fbf8ea2d7820a50e9e85750c60e05 \h </w:instrText>
            </w:r>
            <w:r>
              <w:fldChar w:fldCharType="separate"/>
            </w:r>
            <w:r>
              <w:rPr>
                <w:webHidden/>
              </w:rPr>
              <w:t>X</w:t>
            </w:r>
            <w:r>
              <w:fldChar w:fldCharType="end"/>
            </w:r>
          </w:hyperlink>
        </w:p>
        <w:p>
          <w:pPr>
            <w:pStyle w:val="TOC4"/>
            <w:tabs>
              <w:tab w:val="right" w:leader="dot" w:pos="10189"/>
            </w:tabs>
            <w:rPr>
              <w:b w:val="0"/>
              <w:noProof/>
            </w:rPr>
          </w:pPr>
          <w:hyperlink w:anchor="_31b515b9343bfe6fbdf28b12e6ee9be2" w:history="1">
            <w:r>
              <w:t>Return on investments (ROI)</w:t>
            </w:r>
            <w:r>
              <w:rPr>
                <w:webHidden/>
              </w:rPr>
              <w:tab/>
            </w:r>
            <w:r>
              <w:fldChar w:fldCharType="begin"/>
            </w:r>
            <w:r>
              <w:rPr>
                <w:webHidden/>
              </w:rPr>
              <w:instrText xml:space="preserve"> PAGEREF _31b515b9343bfe6fbdf28b12e6ee9be2 \h </w:instrText>
            </w:r>
            <w:r>
              <w:fldChar w:fldCharType="separate"/>
            </w:r>
            <w:r>
              <w:rPr>
                <w:webHidden/>
              </w:rPr>
              <w:t>X</w:t>
            </w:r>
            <w:r>
              <w:fldChar w:fldCharType="end"/>
            </w:r>
          </w:hyperlink>
        </w:p>
        <w:p>
          <w:pPr>
            <w:pStyle w:val="TOC4"/>
            <w:tabs>
              <w:tab w:val="right" w:leader="dot" w:pos="10189"/>
            </w:tabs>
            <w:rPr>
              <w:b w:val="0"/>
              <w:noProof/>
            </w:rPr>
          </w:pPr>
          <w:hyperlink w:anchor="_515f352e51bb7ee6316a94572e315398" w:history="1">
            <w:r>
              <w:t>Return on sales (ROS)</w:t>
            </w:r>
            <w:r>
              <w:rPr>
                <w:webHidden/>
              </w:rPr>
              <w:tab/>
            </w:r>
            <w:r>
              <w:fldChar w:fldCharType="begin"/>
            </w:r>
            <w:r>
              <w:rPr>
                <w:webHidden/>
              </w:rPr>
              <w:instrText xml:space="preserve"> PAGEREF _515f352e51bb7ee6316a94572e315398 \h </w:instrText>
            </w:r>
            <w:r>
              <w:fldChar w:fldCharType="separate"/>
            </w:r>
            <w:r>
              <w:rPr>
                <w:webHidden/>
              </w:rPr>
              <w:t>X</w:t>
            </w:r>
            <w:r>
              <w:fldChar w:fldCharType="end"/>
            </w:r>
          </w:hyperlink>
        </w:p>
        <w:p>
          <w:pPr>
            <w:pStyle w:val="TOC4"/>
            <w:tabs>
              <w:tab w:val="right" w:leader="dot" w:pos="10189"/>
            </w:tabs>
            <w:rPr>
              <w:b w:val="0"/>
              <w:noProof/>
            </w:rPr>
          </w:pPr>
          <w:hyperlink w:anchor="_9457b7a2b8e5af55d09a01de85535174" w:history="1">
            <w:r>
              <w:t>Indice di rotazione del capitale investito netto</w:t>
            </w:r>
            <w:r>
              <w:rPr>
                <w:webHidden/>
              </w:rPr>
              <w:tab/>
            </w:r>
            <w:r>
              <w:fldChar w:fldCharType="begin"/>
            </w:r>
            <w:r>
              <w:rPr>
                <w:webHidden/>
              </w:rPr>
              <w:instrText xml:space="preserve"> PAGEREF _9457b7a2b8e5af55d09a01de85535174 \h </w:instrText>
            </w:r>
            <w:r>
              <w:fldChar w:fldCharType="separate"/>
            </w:r>
            <w:r>
              <w:rPr>
                <w:webHidden/>
              </w:rPr>
              <w:t>X</w:t>
            </w:r>
            <w:r>
              <w:fldChar w:fldCharType="end"/>
            </w:r>
          </w:hyperlink>
        </w:p>
        <w:p>
          <w:pPr>
            <w:pStyle w:val="TOC3"/>
            <w:tabs>
              <w:tab w:val="right" w:leader="dot" w:pos="10189"/>
            </w:tabs>
            <w:rPr>
              <w:b w:val="0"/>
              <w:noProof/>
            </w:rPr>
          </w:pPr>
          <w:hyperlink w:anchor="_340a8d1420fbf1acb1cd7655e4b56c17" w:history="1">
            <w:r>
              <w:t>Indici di liquidità</w:t>
            </w:r>
            <w:r>
              <w:rPr>
                <w:webHidden/>
              </w:rPr>
              <w:tab/>
            </w:r>
            <w:r>
              <w:fldChar w:fldCharType="begin"/>
            </w:r>
            <w:r>
              <w:rPr>
                <w:webHidden/>
              </w:rPr>
              <w:instrText xml:space="preserve"> PAGEREF _340a8d1420fbf1acb1cd7655e4b56c17 \h </w:instrText>
            </w:r>
            <w:r>
              <w:fldChar w:fldCharType="separate"/>
            </w:r>
            <w:r>
              <w:rPr>
                <w:webHidden/>
              </w:rPr>
              <w:t>X</w:t>
            </w:r>
            <w:r>
              <w:fldChar w:fldCharType="end"/>
            </w:r>
          </w:hyperlink>
        </w:p>
        <w:p>
          <w:pPr>
            <w:pStyle w:val="TOC4"/>
            <w:tabs>
              <w:tab w:val="right" w:leader="dot" w:pos="10189"/>
            </w:tabs>
            <w:rPr>
              <w:b w:val="0"/>
              <w:noProof/>
            </w:rPr>
          </w:pPr>
          <w:hyperlink w:anchor="_580891c44cb12663dd8e6b6f79bd8795" w:history="1">
            <w:r>
              <w:t>Indice di liquidità primaria</w:t>
            </w:r>
            <w:r>
              <w:rPr>
                <w:webHidden/>
              </w:rPr>
              <w:tab/>
            </w:r>
            <w:r>
              <w:fldChar w:fldCharType="begin"/>
            </w:r>
            <w:r>
              <w:rPr>
                <w:webHidden/>
              </w:rPr>
              <w:instrText xml:space="preserve"> PAGEREF _580891c44cb12663dd8e6b6f79bd8795 \h </w:instrText>
            </w:r>
            <w:r>
              <w:fldChar w:fldCharType="separate"/>
            </w:r>
            <w:r>
              <w:rPr>
                <w:webHidden/>
              </w:rPr>
              <w:t>X</w:t>
            </w:r>
            <w:r>
              <w:fldChar w:fldCharType="end"/>
            </w:r>
          </w:hyperlink>
        </w:p>
        <w:p>
          <w:pPr>
            <w:pStyle w:val="TOC4"/>
            <w:tabs>
              <w:tab w:val="right" w:leader="dot" w:pos="10189"/>
            </w:tabs>
            <w:rPr>
              <w:b w:val="0"/>
              <w:noProof/>
            </w:rPr>
          </w:pPr>
          <w:hyperlink w:anchor="_09a6b86d5e4fe939dd5b8a253e82db1b" w:history="1">
            <w:r>
              <w:t>Indice di liquidità secondaria</w:t>
            </w:r>
            <w:r>
              <w:rPr>
                <w:webHidden/>
              </w:rPr>
              <w:tab/>
            </w:r>
            <w:r>
              <w:fldChar w:fldCharType="begin"/>
            </w:r>
            <w:r>
              <w:rPr>
                <w:webHidden/>
              </w:rPr>
              <w:instrText xml:space="preserve"> PAGEREF _09a6b86d5e4fe939dd5b8a253e82db1b \h </w:instrText>
            </w:r>
            <w:r>
              <w:fldChar w:fldCharType="separate"/>
            </w:r>
            <w:r>
              <w:rPr>
                <w:webHidden/>
              </w:rPr>
              <w:t>X</w:t>
            </w:r>
            <w:r>
              <w:fldChar w:fldCharType="end"/>
            </w:r>
          </w:hyperlink>
        </w:p>
        <w:p>
          <w:pPr>
            <w:pStyle w:val="TOC4"/>
            <w:tabs>
              <w:tab w:val="right" w:leader="dot" w:pos="10189"/>
            </w:tabs>
            <w:rPr>
              <w:b w:val="0"/>
              <w:noProof/>
            </w:rPr>
          </w:pPr>
          <w:hyperlink w:anchor="_0c9d6291f89426540b7e5dbe9c53aa18" w:history="1">
            <w:r>
              <w:t>Durata media crediti commerciali</w:t>
            </w:r>
            <w:r>
              <w:rPr>
                <w:webHidden/>
              </w:rPr>
              <w:tab/>
            </w:r>
            <w:r>
              <w:fldChar w:fldCharType="begin"/>
            </w:r>
            <w:r>
              <w:rPr>
                <w:webHidden/>
              </w:rPr>
              <w:instrText xml:space="preserve"> PAGEREF _0c9d6291f89426540b7e5dbe9c53aa18 \h </w:instrText>
            </w:r>
            <w:r>
              <w:fldChar w:fldCharType="separate"/>
            </w:r>
            <w:r>
              <w:rPr>
                <w:webHidden/>
              </w:rPr>
              <w:t>X</w:t>
            </w:r>
            <w:r>
              <w:fldChar w:fldCharType="end"/>
            </w:r>
          </w:hyperlink>
        </w:p>
        <w:p>
          <w:pPr>
            <w:pStyle w:val="TOC4"/>
            <w:tabs>
              <w:tab w:val="right" w:leader="dot" w:pos="10189"/>
            </w:tabs>
            <w:rPr>
              <w:b w:val="0"/>
              <w:noProof/>
            </w:rPr>
          </w:pPr>
          <w:hyperlink w:anchor="_be4b495d0cd36cb4efa3c01b95859275" w:history="1">
            <w:r>
              <w:t>Durata media debiti commerciali</w:t>
            </w:r>
            <w:r>
              <w:rPr>
                <w:webHidden/>
              </w:rPr>
              <w:tab/>
            </w:r>
            <w:r>
              <w:fldChar w:fldCharType="begin"/>
            </w:r>
            <w:r>
              <w:rPr>
                <w:webHidden/>
              </w:rPr>
              <w:instrText xml:space="preserve"> PAGEREF _be4b495d0cd36cb4efa3c01b95859275 \h </w:instrText>
            </w:r>
            <w:r>
              <w:fldChar w:fldCharType="separate"/>
            </w:r>
            <w:r>
              <w:rPr>
                <w:webHidden/>
              </w:rPr>
              <w:t>X</w:t>
            </w:r>
            <w:r>
              <w:fldChar w:fldCharType="end"/>
            </w:r>
          </w:hyperlink>
        </w:p>
        <w:p>
          <w:pPr>
            <w:pStyle w:val="TOC4"/>
            <w:tabs>
              <w:tab w:val="right" w:leader="dot" w:pos="10189"/>
            </w:tabs>
            <w:rPr>
              <w:b w:val="0"/>
              <w:noProof/>
            </w:rPr>
          </w:pPr>
          <w:hyperlink w:anchor="_567eca9fcf93308a03818b24037cdee3" w:history="1">
            <w:r>
              <w:t>Durata media delle scorte di magazzino</w:t>
            </w:r>
            <w:r>
              <w:rPr>
                <w:webHidden/>
              </w:rPr>
              <w:tab/>
            </w:r>
            <w:r>
              <w:fldChar w:fldCharType="begin"/>
            </w:r>
            <w:r>
              <w:rPr>
                <w:webHidden/>
              </w:rPr>
              <w:instrText xml:space="preserve"> PAGEREF _567eca9fcf93308a03818b24037cdee3 \h </w:instrText>
            </w:r>
            <w:r>
              <w:fldChar w:fldCharType="separate"/>
            </w:r>
            <w:r>
              <w:rPr>
                <w:webHidden/>
              </w:rPr>
              <w:t>X</w:t>
            </w:r>
            <w:r>
              <w:fldChar w:fldCharType="end"/>
            </w:r>
          </w:hyperlink>
        </w:p>
        <w:p>
          <w:pPr>
            <w:pStyle w:val="TOC4"/>
            <w:tabs>
              <w:tab w:val="right" w:leader="dot" w:pos="10189"/>
            </w:tabs>
            <w:rPr>
              <w:b w:val="0"/>
              <w:noProof/>
            </w:rPr>
          </w:pPr>
          <w:hyperlink w:anchor="_cd9b282ba76dd14dd4ae9f2848c7d73e" w:history="1">
            <w:r>
              <w:t>Durata media ciclo commerciale</w:t>
            </w:r>
            <w:r>
              <w:rPr>
                <w:webHidden/>
              </w:rPr>
              <w:tab/>
            </w:r>
            <w:r>
              <w:fldChar w:fldCharType="begin"/>
            </w:r>
            <w:r>
              <w:rPr>
                <w:webHidden/>
              </w:rPr>
              <w:instrText xml:space="preserve"> PAGEREF _cd9b282ba76dd14dd4ae9f2848c7d73e \h </w:instrText>
            </w:r>
            <w:r>
              <w:fldChar w:fldCharType="separate"/>
            </w:r>
            <w:r>
              <w:rPr>
                <w:webHidden/>
              </w:rPr>
              <w:t>X</w:t>
            </w:r>
            <w:r>
              <w:fldChar w:fldCharType="end"/>
            </w:r>
          </w:hyperlink>
        </w:p>
        <w:p>
          <w:pPr>
            <w:pStyle w:val="TOC4"/>
            <w:tabs>
              <w:tab w:val="right" w:leader="dot" w:pos="10189"/>
            </w:tabs>
            <w:rPr>
              <w:b w:val="0"/>
              <w:noProof/>
            </w:rPr>
          </w:pPr>
          <w:hyperlink w:anchor="_2ec938134da17f1dc83bbe1497edc515" w:history="1">
            <w:r>
              <w:t>Cash coverage delle passività correnti</w:t>
            </w:r>
            <w:r>
              <w:rPr>
                <w:webHidden/>
              </w:rPr>
              <w:tab/>
            </w:r>
            <w:r>
              <w:fldChar w:fldCharType="begin"/>
            </w:r>
            <w:r>
              <w:rPr>
                <w:webHidden/>
              </w:rPr>
              <w:instrText xml:space="preserve"> PAGEREF _2ec938134da17f1dc83bbe1497edc515 \h </w:instrText>
            </w:r>
            <w:r>
              <w:fldChar w:fldCharType="separate"/>
            </w:r>
            <w:r>
              <w:rPr>
                <w:webHidden/>
              </w:rPr>
              <w:t>X</w:t>
            </w:r>
            <w:r>
              <w:fldChar w:fldCharType="end"/>
            </w:r>
          </w:hyperlink>
        </w:p>
        <w:p>
          <w:pPr>
            <w:pStyle w:val="TOC4"/>
            <w:tabs>
              <w:tab w:val="right" w:leader="dot" w:pos="10189"/>
            </w:tabs>
            <w:rPr>
              <w:b w:val="0"/>
              <w:noProof/>
            </w:rPr>
          </w:pPr>
          <w:hyperlink w:anchor="_fd2d00671be5caca3a5bc79698bf3cd0" w:history="1">
            <w:r>
              <w:t>Cash coverage dei ricavi</w:t>
            </w:r>
            <w:r>
              <w:rPr>
                <w:webHidden/>
              </w:rPr>
              <w:tab/>
            </w:r>
            <w:r>
              <w:fldChar w:fldCharType="begin"/>
            </w:r>
            <w:r>
              <w:rPr>
                <w:webHidden/>
              </w:rPr>
              <w:instrText xml:space="preserve"> PAGEREF _fd2d00671be5caca3a5bc79698bf3cd0 \h </w:instrText>
            </w:r>
            <w:r>
              <w:fldChar w:fldCharType="separate"/>
            </w:r>
            <w:r>
              <w:rPr>
                <w:webHidden/>
              </w:rPr>
              <w:t>X</w:t>
            </w:r>
            <w:r>
              <w:fldChar w:fldCharType="end"/>
            </w:r>
          </w:hyperlink>
        </w:p>
        <w:p>
          <w:pPr>
            <w:pStyle w:val="TOC2"/>
            <w:tabs>
              <w:tab w:val="right" w:leader="dot" w:pos="10189"/>
            </w:tabs>
            <w:rPr>
              <w:b w:val="0"/>
              <w:noProof/>
            </w:rPr>
          </w:pPr>
          <w:hyperlink w:anchor="_638113ce76d69484ab20b1177bf7f60d" w:history="1">
            <w:r>
              <w:t>Indici della crisi</w:t>
            </w:r>
            <w:r>
              <w:rPr>
                <w:webHidden/>
              </w:rPr>
              <w:tab/>
            </w:r>
            <w:r>
              <w:fldChar w:fldCharType="begin"/>
            </w:r>
            <w:r>
              <w:rPr>
                <w:webHidden/>
              </w:rPr>
              <w:instrText xml:space="preserve"> PAGEREF _638113ce76d69484ab20b1177bf7f60d \h </w:instrText>
            </w:r>
            <w:r>
              <w:fldChar w:fldCharType="separate"/>
            </w:r>
            <w:r>
              <w:rPr>
                <w:webHidden/>
              </w:rPr>
              <w:t>X</w:t>
            </w:r>
            <w:r>
              <w:fldChar w:fldCharType="end"/>
            </w:r>
          </w:hyperlink>
        </w:p>
        <w:p>
          <w:pPr>
            <w:pStyle w:val="TOC3"/>
            <w:tabs>
              <w:tab w:val="right" w:leader="dot" w:pos="10189"/>
            </w:tabs>
            <w:rPr>
              <w:b w:val="0"/>
              <w:noProof/>
            </w:rPr>
          </w:pPr>
          <w:hyperlink w:anchor="_9d9802c7731c16dc3f93cb3ea2c0f6a7" w:history="1">
            <w:r>
              <w:t>Livello 1</w:t>
            </w:r>
            <w:r>
              <w:rPr>
                <w:webHidden/>
              </w:rPr>
              <w:tab/>
            </w:r>
            <w:r>
              <w:fldChar w:fldCharType="begin"/>
            </w:r>
            <w:r>
              <w:rPr>
                <w:webHidden/>
              </w:rPr>
              <w:instrText xml:space="preserve"> PAGEREF _9d9802c7731c16dc3f93cb3ea2c0f6a7 \h </w:instrText>
            </w:r>
            <w:r>
              <w:fldChar w:fldCharType="separate"/>
            </w:r>
            <w:r>
              <w:rPr>
                <w:webHidden/>
              </w:rPr>
              <w:t>X</w:t>
            </w:r>
            <w:r>
              <w:fldChar w:fldCharType="end"/>
            </w:r>
          </w:hyperlink>
        </w:p>
        <w:p>
          <w:pPr>
            <w:pStyle w:val="TOC4"/>
            <w:tabs>
              <w:tab w:val="right" w:leader="dot" w:pos="10189"/>
            </w:tabs>
            <w:rPr>
              <w:b w:val="0"/>
              <w:noProof/>
            </w:rPr>
          </w:pPr>
          <w:hyperlink w:anchor="_f05b67953e7fb15fc65a3d8350867dc3" w:history="1">
            <w:r>
              <w:t>Patrimonio netto negativo</w:t>
            </w:r>
            <w:r>
              <w:rPr>
                <w:webHidden/>
              </w:rPr>
              <w:tab/>
            </w:r>
            <w:r>
              <w:fldChar w:fldCharType="begin"/>
            </w:r>
            <w:r>
              <w:rPr>
                <w:webHidden/>
              </w:rPr>
              <w:instrText xml:space="preserve"> PAGEREF _f05b67953e7fb15fc65a3d8350867dc3 \h </w:instrText>
            </w:r>
            <w:r>
              <w:fldChar w:fldCharType="separate"/>
            </w:r>
            <w:r>
              <w:rPr>
                <w:webHidden/>
              </w:rPr>
              <w:t>X</w:t>
            </w:r>
            <w:r>
              <w:fldChar w:fldCharType="end"/>
            </w:r>
          </w:hyperlink>
        </w:p>
        <w:p>
          <w:pPr>
            <w:pStyle w:val="TOC3"/>
            <w:tabs>
              <w:tab w:val="right" w:leader="dot" w:pos="10189"/>
            </w:tabs>
            <w:rPr>
              <w:b w:val="0"/>
              <w:noProof/>
            </w:rPr>
          </w:pPr>
          <w:hyperlink w:anchor="_28c866ac01cf47163dd2e4fb7ab12887" w:history="1">
            <w:r>
              <w:t>Livello 2</w:t>
            </w:r>
            <w:r>
              <w:rPr>
                <w:webHidden/>
              </w:rPr>
              <w:tab/>
            </w:r>
            <w:r>
              <w:fldChar w:fldCharType="begin"/>
            </w:r>
            <w:r>
              <w:rPr>
                <w:webHidden/>
              </w:rPr>
              <w:instrText xml:space="preserve"> PAGEREF _28c866ac01cf47163dd2e4fb7ab12887 \h </w:instrText>
            </w:r>
            <w:r>
              <w:fldChar w:fldCharType="separate"/>
            </w:r>
            <w:r>
              <w:rPr>
                <w:webHidden/>
              </w:rPr>
              <w:t>X</w:t>
            </w:r>
            <w:r>
              <w:fldChar w:fldCharType="end"/>
            </w:r>
          </w:hyperlink>
        </w:p>
        <w:p>
          <w:pPr>
            <w:pStyle w:val="TOC4"/>
            <w:tabs>
              <w:tab w:val="right" w:leader="dot" w:pos="10189"/>
            </w:tabs>
            <w:rPr>
              <w:b w:val="0"/>
              <w:noProof/>
            </w:rPr>
          </w:pPr>
          <w:hyperlink w:anchor="_e96bce8724c15d0b798670d946704532" w:history="1">
            <w:r>
              <w:t>Debt service coverage ratio</w:t>
            </w:r>
            <w:r>
              <w:rPr>
                <w:webHidden/>
              </w:rPr>
              <w:tab/>
            </w:r>
            <w:r>
              <w:fldChar w:fldCharType="begin"/>
            </w:r>
            <w:r>
              <w:rPr>
                <w:webHidden/>
              </w:rPr>
              <w:instrText xml:space="preserve"> PAGEREF _e96bce8724c15d0b798670d946704532 \h </w:instrText>
            </w:r>
            <w:r>
              <w:fldChar w:fldCharType="separate"/>
            </w:r>
            <w:r>
              <w:rPr>
                <w:webHidden/>
              </w:rPr>
              <w:t>X</w:t>
            </w:r>
            <w:r>
              <w:fldChar w:fldCharType="end"/>
            </w:r>
          </w:hyperlink>
        </w:p>
        <w:p>
          <w:pPr>
            <w:pStyle w:val="TOC3"/>
            <w:tabs>
              <w:tab w:val="right" w:leader="dot" w:pos="10189"/>
            </w:tabs>
            <w:rPr>
              <w:b w:val="0"/>
              <w:noProof/>
            </w:rPr>
          </w:pPr>
          <w:hyperlink w:anchor="_ba6adb3e7dcf79c12b993f423ff4d051" w:history="1">
            <w:r>
              <w:t>Livello 3</w:t>
            </w:r>
            <w:r>
              <w:rPr>
                <w:webHidden/>
              </w:rPr>
              <w:tab/>
            </w:r>
            <w:r>
              <w:fldChar w:fldCharType="begin"/>
            </w:r>
            <w:r>
              <w:rPr>
                <w:webHidden/>
              </w:rPr>
              <w:instrText xml:space="preserve"> PAGEREF _ba6adb3e7dcf79c12b993f423ff4d051 \h </w:instrText>
            </w:r>
            <w:r>
              <w:fldChar w:fldCharType="separate"/>
            </w:r>
            <w:r>
              <w:rPr>
                <w:webHidden/>
              </w:rPr>
              <w:t>X</w:t>
            </w:r>
            <w:r>
              <w:fldChar w:fldCharType="end"/>
            </w:r>
          </w:hyperlink>
        </w:p>
        <w:p>
          <w:pPr>
            <w:pStyle w:val="TOC4"/>
            <w:tabs>
              <w:tab w:val="right" w:leader="dot" w:pos="10189"/>
            </w:tabs>
            <w:rPr>
              <w:b w:val="0"/>
              <w:noProof/>
            </w:rPr>
          </w:pPr>
          <w:hyperlink w:anchor="_67112b3b382883e757e8d443e86b7a9a" w:history="1">
            <w:r>
              <w:t>Indice di liquidità a breve termine</w:t>
            </w:r>
            <w:r>
              <w:rPr>
                <w:webHidden/>
              </w:rPr>
              <w:tab/>
            </w:r>
            <w:r>
              <w:fldChar w:fldCharType="begin"/>
            </w:r>
            <w:r>
              <w:rPr>
                <w:webHidden/>
              </w:rPr>
              <w:instrText xml:space="preserve"> PAGEREF _67112b3b382883e757e8d443e86b7a9a \h </w:instrText>
            </w:r>
            <w:r>
              <w:fldChar w:fldCharType="separate"/>
            </w:r>
            <w:r>
              <w:rPr>
                <w:webHidden/>
              </w:rPr>
              <w:t>X</w:t>
            </w:r>
            <w:r>
              <w:fldChar w:fldCharType="end"/>
            </w:r>
          </w:hyperlink>
        </w:p>
        <w:p>
          <w:pPr>
            <w:pStyle w:val="TOC4"/>
            <w:tabs>
              <w:tab w:val="right" w:leader="dot" w:pos="10189"/>
            </w:tabs>
            <w:rPr>
              <w:b w:val="0"/>
              <w:noProof/>
            </w:rPr>
          </w:pPr>
          <w:hyperlink w:anchor="_cde25464ebf3b60ab90280ee3dbd939f" w:history="1">
            <w:r>
              <w:t>Indice di ritorno liquido</w:t>
            </w:r>
            <w:r>
              <w:rPr>
                <w:webHidden/>
              </w:rPr>
              <w:tab/>
            </w:r>
            <w:r>
              <w:fldChar w:fldCharType="begin"/>
            </w:r>
            <w:r>
              <w:rPr>
                <w:webHidden/>
              </w:rPr>
              <w:instrText xml:space="preserve"> PAGEREF _cde25464ebf3b60ab90280ee3dbd939f \h </w:instrText>
            </w:r>
            <w:r>
              <w:fldChar w:fldCharType="separate"/>
            </w:r>
            <w:r>
              <w:rPr>
                <w:webHidden/>
              </w:rPr>
              <w:t>X</w:t>
            </w:r>
            <w:r>
              <w:fldChar w:fldCharType="end"/>
            </w:r>
          </w:hyperlink>
        </w:p>
        <w:p>
          <w:pPr>
            <w:pStyle w:val="TOC4"/>
            <w:tabs>
              <w:tab w:val="right" w:leader="dot" w:pos="10189"/>
            </w:tabs>
            <w:rPr>
              <w:b w:val="0"/>
              <w:noProof/>
            </w:rPr>
          </w:pPr>
          <w:hyperlink w:anchor="_59817ee00bcf158348217f3822545457" w:history="1">
            <w:r>
              <w:t>Indice di adeguatezza patrimoniale</w:t>
            </w:r>
            <w:r>
              <w:rPr>
                <w:webHidden/>
              </w:rPr>
              <w:tab/>
            </w:r>
            <w:r>
              <w:fldChar w:fldCharType="begin"/>
            </w:r>
            <w:r>
              <w:rPr>
                <w:webHidden/>
              </w:rPr>
              <w:instrText xml:space="preserve"> PAGEREF _59817ee00bcf158348217f3822545457 \h </w:instrText>
            </w:r>
            <w:r>
              <w:fldChar w:fldCharType="separate"/>
            </w:r>
            <w:r>
              <w:rPr>
                <w:webHidden/>
              </w:rPr>
              <w:t>X</w:t>
            </w:r>
            <w:r>
              <w:fldChar w:fldCharType="end"/>
            </w:r>
          </w:hyperlink>
        </w:p>
        <w:p>
          <w:pPr>
            <w:pStyle w:val="TOC4"/>
            <w:tabs>
              <w:tab w:val="right" w:leader="dot" w:pos="10189"/>
            </w:tabs>
            <w:rPr>
              <w:b w:val="0"/>
              <w:noProof/>
            </w:rPr>
          </w:pPr>
          <w:hyperlink w:anchor="_7e41ae849a990dc473c4434cd5061a5d" w:history="1">
            <w:r>
              <w:t>Indice di indebitamento previdenziale e tributario</w:t>
            </w:r>
            <w:r>
              <w:rPr>
                <w:webHidden/>
              </w:rPr>
              <w:tab/>
            </w:r>
            <w:r>
              <w:fldChar w:fldCharType="begin"/>
            </w:r>
            <w:r>
              <w:rPr>
                <w:webHidden/>
              </w:rPr>
              <w:instrText xml:space="preserve"> PAGEREF _7e41ae849a990dc473c4434cd5061a5d \h </w:instrText>
            </w:r>
            <w:r>
              <w:fldChar w:fldCharType="separate"/>
            </w:r>
            <w:r>
              <w:rPr>
                <w:webHidden/>
              </w:rPr>
              <w:t>X</w:t>
            </w:r>
            <w:r>
              <w:fldChar w:fldCharType="end"/>
            </w:r>
          </w:hyperlink>
        </w:p>
        <w:p>
          <w:pPr>
            <w:pStyle w:val="TOC4"/>
            <w:tabs>
              <w:tab w:val="right" w:leader="dot" w:pos="10189"/>
            </w:tabs>
            <w:rPr>
              <w:b w:val="0"/>
              <w:noProof/>
            </w:rPr>
          </w:pPr>
          <w:hyperlink w:anchor="_b1896868d5552ab7c6f56a0d1da497ad" w:history="1">
            <w:r>
              <w:t>Indice di sostenibilità degli oneri finanziari</w:t>
            </w:r>
            <w:r>
              <w:rPr>
                <w:webHidden/>
              </w:rPr>
              <w:tab/>
            </w:r>
            <w:r>
              <w:fldChar w:fldCharType="begin"/>
            </w:r>
            <w:r>
              <w:rPr>
                <w:webHidden/>
              </w:rPr>
              <w:instrText xml:space="preserve"> PAGEREF _b1896868d5552ab7c6f56a0d1da497ad \h </w:instrText>
            </w:r>
            <w:r>
              <w:fldChar w:fldCharType="separate"/>
            </w:r>
            <w:r>
              <w:rPr>
                <w:webHidden/>
              </w:rPr>
              <w:t>X</w:t>
            </w:r>
            <w:r>
              <w:fldChar w:fldCharType="end"/>
            </w:r>
          </w:hyperlink>
        </w:p>
        <w:p>
          <w:r>
            <w:fldChar w:fldCharType="end"/>
          </w:r>
        </w:p>
      </w:sdtContent>
    </w:sdt>
    <w:bookmarkStart w:id="231" w:name="_47fc556c5c34cf9f893658615bc64650"/>
    <w:bookmarkStart w:id="232" w:name="_e4d22122b6f76599093516648cb102c7"/>
    <w:bookmarkStart w:id="233" w:name="_3114340f71a156b02c05d0b569ac1d37"/>
    <w:bookmarkEnd w:id="233"/>
    <w:bookmarkStart w:id="234" w:name="_dab223368834601d19a25415285da484"/>
    <w:bookmarkEnd w:id="234"/>
    <w:bookmarkStart w:id="235" w:name="_029ae7cf59868ada5280d04e8ff41c7f"/>
    <w:bookmarkEnd w:id="235"/>
    <w:bookmarkStart w:id="236" w:name="_e1528f5c3dcf3bf3a3964161c1ad45a0"/>
    <w:bookmarkEnd w:id="236"/>
    <w:bookmarkStart w:id="237" w:name="_9ab1abe02c9dbdd253104be89c56c6a3"/>
    <w:bookmarkEnd w:id="237"/>
    <w:bookmarkStart w:id="238" w:name="_dc24a2723d1048465c925d743d46b7c5"/>
    <w:bookmarkEnd w:id="238"/>
    <w:bookmarkStart w:id="239" w:name="_4591ef92259579ec93158f3949a57af0"/>
    <w:bookmarkEnd w:id="239"/>
    <w:bookmarkStart w:id="240" w:name="_766421c9c959d5061b96ce27cbf92b86"/>
    <w:bookmarkEnd w:id="240"/>
    <w:bookmarkStart w:id="241" w:name="_b24677e2d44251b0613864a449bf5858"/>
    <w:bookmarkEnd w:id="241"/>
    <w:bookmarkStart w:id="242" w:name="_1fd1b39ac3cde825230ef3d069d37129"/>
    <w:bookmarkEnd w:id="242"/>
    <w:bookmarkStart w:id="243" w:name="_6f393fb03cbab1bf3eb3b689426c8281"/>
    <w:bookmarkEnd w:id="243"/>
    <w:bookmarkStart w:id="244" w:name="_5573c78bf5c0aa1b9077d9840a509cee"/>
    <w:bookmarkEnd w:id="244"/>
    <w:bookmarkStart w:id="245" w:name="_9b3bf663591c11711e14dead2d1833f1"/>
    <w:bookmarkEnd w:id="245"/>
    <w:bookmarkStart w:id="246" w:name="_bce3e68f1f8c30a7402c668de8b419b2"/>
    <w:bookmarkEnd w:id="246"/>
    <w:bookmarkStart w:id="247" w:name="_d53d345f7bc4b04ef8902608d216ee5f"/>
    <w:bookmarkEnd w:id="247"/>
    <w:bookmarkStart w:id="248" w:name="_221f1a550d6b3f834389fc6e58869039"/>
    <w:bookmarkEnd w:id="248"/>
    <w:bookmarkStart w:id="249" w:name="_f77cb1376ab6e34ee43c1c54bdc7ec9c"/>
    <w:bookmarkEnd w:id="249"/>
    <w:bookmarkStart w:id="250" w:name="_3ae3462a9660a224aa4ad10563e84a9d"/>
    <w:bookmarkEnd w:id="250"/>
    <w:bookmarkStart w:id="251" w:name="_9e87213874f619749aef307312be2ebf"/>
    <w:bookmarkEnd w:id="251"/>
    <w:bookmarkStart w:id="252" w:name="_b886b6772747f2bfadfb6c22017eb260"/>
    <w:bookmarkEnd w:id="252"/>
    <w:bookmarkStart w:id="253" w:name="_2050caf5da4cb5ad63f642f5ba1f29e9"/>
    <w:bookmarkEnd w:id="253"/>
    <w:bookmarkStart w:id="254" w:name="_6558d9249155852dd317837d60e3522f"/>
    <w:bookmarkEnd w:id="254"/>
    <w:bookmarkStart w:id="255" w:name="_bb7fae26b21f709c1b04277a9c800bd1"/>
    <w:bookmarkEnd w:id="255"/>
    <w:bookmarkStart w:id="256" w:name="_bc37671e9d0ef9c22299aadad52c173b"/>
    <w:bookmarkEnd w:id="256"/>
    <w:bookmarkStart w:id="257" w:name="_5f0c4187720dfb88d81601f5e3d9c5c3"/>
    <w:bookmarkEnd w:id="257"/>
    <w:bookmarkStart w:id="258" w:name="_c8942d1e5f602a7aedf429178286b78c"/>
    <w:bookmarkEnd w:id="258"/>
    <w:bookmarkStart w:id="259" w:name="_5f3e468a07e7f91ba5213ff004fecc17"/>
    <w:bookmarkEnd w:id="259"/>
    <w:bookmarkStart w:id="260" w:name="_7efb8f03bd4a102c9cdeb68f878585f6"/>
    <w:bookmarkEnd w:id="260"/>
    <w:bookmarkStart w:id="261" w:name="_274a7fef4b18fc191b7d216386d90d43"/>
    <w:bookmarkEnd w:id="261"/>
    <w:bookmarkStart w:id="262" w:name="_5ab4aee156ea16e21dee0097c871931a"/>
    <w:bookmarkEnd w:id="262"/>
    <w:bookmarkStart w:id="263" w:name="_eacbe649cf323d7a4b6dd5498637aee6"/>
    <w:bookmarkEnd w:id="263"/>
    <w:bookmarkStart w:id="264" w:name="_dd4e5a371b1baffaf3327187fb6667dc"/>
    <w:bookmarkEnd w:id="264"/>
    <w:bookmarkStart w:id="265" w:name="_288e0f843b4256400f11445eb85b2566"/>
    <w:bookmarkEnd w:id="265"/>
    <w:bookmarkStart w:id="266" w:name="_bd5de2b702708c689369b3e20b50b9e6"/>
    <w:bookmarkEnd w:id="266"/>
    <w:bookmarkStart w:id="267" w:name="_d745217eb90cf04f3482a7928c6e6b44"/>
    <w:bookmarkEnd w:id="267"/>
    <w:bookmarkStart w:id="268" w:name="_6f7e9cff5cddfa80710d1467a79495b0"/>
    <w:bookmarkEnd w:id="268"/>
    <w:bookmarkStart w:id="269" w:name="_8b9bcd340139625615543c71e5ed9877"/>
    <w:bookmarkEnd w:id="269"/>
    <w:bookmarkStart w:id="270" w:name="_7ad1af89329f4fe01b843e621ce27c33"/>
    <w:bookmarkEnd w:id="270"/>
    <w:bookmarkStart w:id="271" w:name="_bf1a9037b0b2c11a00b18f3cfc8cdfa1"/>
    <w:bookmarkEnd w:id="271"/>
    <w:bookmarkStart w:id="272" w:name="_aa5feedc4f90da54c27c837e968dcac9"/>
    <w:bookmarkEnd w:id="272"/>
    <w:bookmarkStart w:id="273" w:name="_f3786dad7317b62c9ce2523745bbe0cb"/>
    <w:bookmarkEnd w:id="273"/>
    <w:bookmarkStart w:id="274" w:name="_2757c61aa257fd1a90ceca51629d016d"/>
    <w:bookmarkEnd w:id="274"/>
    <w:bookmarkStart w:id="275" w:name="_4d598d3d066e661af88a2e99c80bdeb7"/>
    <w:bookmarkEnd w:id="275"/>
    <w:bookmarkStart w:id="276" w:name="_fad3382b1066d7f475b102893dc314e1"/>
    <w:bookmarkEnd w:id="276"/>
    <w:bookmarkStart w:id="277" w:name="_9513a3c4ace3f1f28e4b3281f434ffe1"/>
    <w:bookmarkEnd w:id="277"/>
    <w:bookmarkStart w:id="278" w:name="_cd93d74f489b5574011f87830929263c"/>
    <w:bookmarkEnd w:id="278"/>
    <w:bookmarkStart w:id="279" w:name="_2fadb05996c5f24a6098b8eaf2894e2b"/>
    <w:bookmarkEnd w:id="279"/>
    <w:bookmarkStart w:id="280" w:name="_98048462dac851af752234a2b1290b3c"/>
    <w:bookmarkEnd w:id="280"/>
    <w:bookmarkStart w:id="281" w:name="_503d1391c6365429a952d6d048342702"/>
    <w:bookmarkEnd w:id="281"/>
    <w:bookmarkStart w:id="282" w:name="_5eb9fbd87d8ab694a3e865ae92e8dc19"/>
    <w:bookmarkEnd w:id="282"/>
    <w:bookmarkStart w:id="283" w:name="_8963a1bd3e56f898499af53ec46460c4"/>
    <w:bookmarkEnd w:id="283"/>
    <w:bookmarkStart w:id="284" w:name="_6a4075992658657bbeab05aefcaa0f97"/>
    <w:bookmarkEnd w:id="284"/>
    <w:bookmarkStart w:id="285" w:name="_40dec890c26da9e42df7f6d3992846a3"/>
    <w:bookmarkEnd w:id="285"/>
    <w:bookmarkStart w:id="286" w:name="_811d5108c3375b5899f273893e842241"/>
    <w:bookmarkEnd w:id="286"/>
    <w:bookmarkStart w:id="287" w:name="_79443565e7b235e6c22522163bda8774"/>
    <w:bookmarkEnd w:id="287"/>
    <w:bookmarkStart w:id="288" w:name="_0911c12e06c170c698c63f0aa9c16ee5"/>
    <w:bookmarkEnd w:id="288"/>
    <w:bookmarkStart w:id="289" w:name="_a3b335209e8ed6f1a24de5bf008f56d4"/>
    <w:bookmarkEnd w:id="289"/>
    <w:bookmarkStart w:id="290" w:name="_af07e360795c55fe6b61296c284c0b91"/>
    <w:bookmarkEnd w:id="290"/>
    <w:bookmarkStart w:id="291" w:name="_45092d9c9d81f3ea6e1ccfacc9584a81"/>
    <w:bookmarkEnd w:id="291"/>
    <w:bookmarkStart w:id="292" w:name="_33fdc2c921ba7c6a1d03ce7bd319d3ac"/>
    <w:bookmarkEnd w:id="292"/>
    <w:bookmarkStart w:id="293" w:name="_6b742100a11b135a64162d866b8c8dec"/>
    <w:bookmarkEnd w:id="293"/>
    <w:bookmarkStart w:id="294" w:name="_f01bb6a1fdc8ff84bf5e2ae50b6dd5fe"/>
    <w:bookmarkEnd w:id="294"/>
    <w:bookmarkStart w:id="295" w:name="_840f97c75cdf1bc664af4753c043e125"/>
    <w:bookmarkEnd w:id="295"/>
    <w:bookmarkStart w:id="296" w:name="_a85507bf5d009a2adb357811d00aae69"/>
    <w:bookmarkEnd w:id="296"/>
    <w:bookmarkStart w:id="297" w:name="_e920d849046e2f59596c2cb71befe76e"/>
    <w:bookmarkEnd w:id="297"/>
    <w:bookmarkStart w:id="298" w:name="_f7e036ab903c88822fdc114d4c2b4eba"/>
    <w:bookmarkEnd w:id="298"/>
    <w:bookmarkStart w:id="299" w:name="_cb5425977f22b32d868306827ffda6e0"/>
    <w:bookmarkEnd w:id="299"/>
    <w:bookmarkStart w:id="300" w:name="_98664b64e8b629dd31cfcd24780f858b"/>
    <w:bookmarkEnd w:id="300"/>
    <w:bookmarkStart w:id="301" w:name="_d92eeb012eb20d627a5999e1c0f264cc"/>
    <w:bookmarkEnd w:id="301"/>
    <w:bookmarkStart w:id="302" w:name="_fe2ff3b7d2bd7d4892d9c0e9a669c0cd"/>
    <w:bookmarkEnd w:id="302"/>
    <w:bookmarkStart w:id="303" w:name="_caf57ef086fb11cbf962cb809b49b0b5"/>
    <w:bookmarkEnd w:id="303"/>
    <w:bookmarkStart w:id="304" w:name="_2658f6022e13cc24a04635ee9fcc2539"/>
    <w:bookmarkEnd w:id="304"/>
    <w:bookmarkStart w:id="305" w:name="_bd92afbf8d39103ee5c289fcd8a69c58"/>
    <w:bookmarkEnd w:id="305"/>
    <w:bookmarkStart w:id="306" w:name="_513fb3b5c845d6995550998053826a19"/>
    <w:bookmarkEnd w:id="306"/>
    <w:bookmarkStart w:id="307" w:name="_7278321521beae3d5fc791881c508666"/>
    <w:bookmarkEnd w:id="307"/>
    <w:bookmarkStart w:id="308" w:name="_4f0ac5264332670cc3ac674d3f84dd55"/>
    <w:bookmarkEnd w:id="308"/>
    <w:bookmarkStart w:id="309" w:name="_9ac9890b04db384468162cdc0ea873fa"/>
    <w:bookmarkEnd w:id="309"/>
    <w:bookmarkStart w:id="310" w:name="_9767aeea34fb7504d038813d6eff2d98"/>
    <w:bookmarkEnd w:id="310"/>
    <w:bookmarkStart w:id="311" w:name="_2cebb722c84c26d4afc22e0258c4aff9"/>
    <w:bookmarkEnd w:id="311"/>
    <w:bookmarkStart w:id="312" w:name="_2ad90749be8d6c2d15ba8fb5fdf9f1af"/>
    <w:bookmarkEnd w:id="312"/>
    <w:bookmarkStart w:id="313" w:name="_93d58a96c12743792eba8fec95cd69e9"/>
    <w:bookmarkEnd w:id="313"/>
    <w:bookmarkStart w:id="314" w:name="_44aadabab7c55283a01c1a427a718fe4"/>
    <w:bookmarkEnd w:id="314"/>
    <w:bookmarkStart w:id="315" w:name="_0d064fd0d54ad5bd86fab0869415e0d2"/>
    <w:bookmarkEnd w:id="315"/>
    <w:bookmarkStart w:id="316" w:name="_be5d1903b2e16f052ce190e6ff5608a2"/>
    <w:bookmarkEnd w:id="316"/>
    <w:bookmarkStart w:id="317" w:name="_1963dda1f4e306def3ccb4b9d8d9cee4"/>
    <w:bookmarkEnd w:id="317"/>
    <w:bookmarkStart w:id="318" w:name="_d84cfeffb25a932d5766da814f13296c"/>
    <w:bookmarkEnd w:id="318"/>
    <w:bookmarkStart w:id="319" w:name="_d0d4781060ac1534d5ec0750108bcc82"/>
    <w:bookmarkEnd w:id="319"/>
    <w:bookmarkStart w:id="320" w:name="_5e667a1036b02d6450f436f873516138"/>
    <w:bookmarkEnd w:id="320"/>
    <w:bookmarkStart w:id="321" w:name="_be1af785a96f203255de3366e342e85e"/>
    <w:bookmarkEnd w:id="321"/>
    <w:bookmarkStart w:id="322" w:name="_fc83dfe7e5eace786467da365f582a5d"/>
    <w:bookmarkEnd w:id="322"/>
    <w:bookmarkStart w:id="323" w:name="_8ff73b2c118c6eb278587348686baa91"/>
    <w:bookmarkEnd w:id="323"/>
    <w:bookmarkStart w:id="324" w:name="_1f058cc22889d0ec634aa48ffad10c94"/>
    <w:bookmarkEnd w:id="324"/>
    <w:bookmarkStart w:id="325" w:name="_a782548c8d105c4bdb849915353d5d29"/>
    <w:bookmarkEnd w:id="325"/>
    <w:bookmarkStart w:id="326" w:name="_e19f2e2ea62fc46219d7d033f5f72c79"/>
    <w:bookmarkEnd w:id="326"/>
    <w:bookmarkStart w:id="327" w:name="_6e34345628b37de005ddfc29c0c1dab1"/>
    <w:bookmarkEnd w:id="327"/>
    <w:bookmarkStart w:id="328" w:name="_f5f430baf563c67e1082e1a967a7e0e7"/>
    <w:bookmarkEnd w:id="328"/>
    <w:bookmarkStart w:id="329" w:name="_1bad05a1ea2ecfa79fa5a62f542dd276"/>
    <w:bookmarkEnd w:id="329"/>
    <w:bookmarkStart w:id="330" w:name="_d2c8692d9c6c4fbffc7068ddd95dbed8"/>
    <w:bookmarkEnd w:id="330"/>
    <w:bookmarkStart w:id="331" w:name="_5d2a1423528c3f7d35396a9788ef4fcc"/>
    <w:bookmarkEnd w:id="331"/>
    <w:bookmarkStart w:id="332" w:name="_51f35a88266fa0c2c292a16efc3de154"/>
    <w:bookmarkEnd w:id="332"/>
    <w:bookmarkStart w:id="333" w:name="_f6a600ec50e13f440674b2a4e777eb1d"/>
    <w:bookmarkEnd w:id="333"/>
    <w:bookmarkStart w:id="334" w:name="_6d8799e67491ca7a0f65fa1852d04511"/>
    <w:bookmarkEnd w:id="334"/>
    <w:bookmarkStart w:id="335" w:name="_a7cd3d03cc8b67deafeacab81ca86f1d"/>
    <w:bookmarkEnd w:id="335"/>
    <w:bookmarkStart w:id="336" w:name="_0f67e8290c527ad63573d37866682e78"/>
    <w:bookmarkEnd w:id="336"/>
    <w:bookmarkStart w:id="337" w:name="_1c1edb4a08ed7b1266d8bf2be53ef841"/>
    <w:bookmarkEnd w:id="337"/>
    <w:bookmarkStart w:id="338" w:name="_d88f88eff39a773035e63f6d16bda708"/>
    <w:bookmarkEnd w:id="338"/>
    <w:bookmarkStart w:id="339" w:name="_9974aa0bd57c7d090fe45a87eaa588fb"/>
    <w:bookmarkEnd w:id="339"/>
    <w:bookmarkStart w:id="340" w:name="_ec343dd3edd6ee2e6d54bbca54b7fe2f"/>
    <w:bookmarkEnd w:id="340"/>
    <w:bookmarkStart w:id="341" w:name="_70ac02b6cb44e716f1e3684110be9efb"/>
    <w:bookmarkEnd w:id="341"/>
    <w:bookmarkStart w:id="342" w:name="_741fdcbb2be5fde99da72cccb095aaca"/>
    <w:bookmarkEnd w:id="342"/>
    <w:bookmarkStart w:id="343" w:name="_52e4aa5c43c45a1d162e4ba4e238d375"/>
    <w:bookmarkEnd w:id="343"/>
    <w:bookmarkStart w:id="344" w:name="_4aacd5db0d83a89eecc4e8a930ef691b"/>
    <w:bookmarkEnd w:id="344"/>
    <w:bookmarkStart w:id="345" w:name="_3ec4cb6989d30d4044882ca57ffad2ff"/>
    <w:bookmarkEnd w:id="345"/>
    <w:bookmarkStart w:id="346" w:name="_7a077f7bbf9d14de429010c984afe314"/>
    <w:bookmarkEnd w:id="346"/>
    <w:bookmarkStart w:id="347" w:name="_29bc9fa9f24dc9f0683a9d1eba73c54c"/>
    <w:bookmarkEnd w:id="347"/>
    <w:bookmarkStart w:id="348" w:name="_455ea0704483138f9a94e97ac1b4069e"/>
    <w:bookmarkEnd w:id="348"/>
    <w:bookmarkStart w:id="349" w:name="_63eaf51821c80f4c2a800c50e48c7aac"/>
    <w:bookmarkEnd w:id="349"/>
    <w:bookmarkStart w:id="350" w:name="_fd09ab75e3b54a5f4fab6f2c921ef7a7"/>
    <w:bookmarkEnd w:id="350"/>
    <w:bookmarkStart w:id="351" w:name="_e8974242549f216a981a7d6b310a31be"/>
    <w:bookmarkEnd w:id="351"/>
    <w:bookmarkStart w:id="352" w:name="_8e9d036811fd0acb4b177377200baa51"/>
    <w:bookmarkEnd w:id="352"/>
    <w:bookmarkStart w:id="353" w:name="_81ffe96e82996307e7fd3edbedbb49b8"/>
    <w:bookmarkEnd w:id="353"/>
    <w:bookmarkStart w:id="354" w:name="_e8252ffa98ba7f40a1578f7e54fe836f"/>
    <w:bookmarkEnd w:id="354"/>
    <w:bookmarkStart w:id="355" w:name="_1315055e3dbc41f340d282dc765d6c64"/>
    <w:bookmarkEnd w:id="355"/>
    <w:bookmarkStart w:id="356" w:name="_4f451c5b311c6e0fcf52dd345e3f20cd"/>
    <w:bookmarkEnd w:id="356"/>
    <w:bookmarkStart w:id="357" w:name="_4c6a333d5e2beaacfe9255a8a0c49b43"/>
    <w:bookmarkEnd w:id="357"/>
    <w:bookmarkStart w:id="358" w:name="_ed3481c726ea48ced59553078e33acd4"/>
    <w:bookmarkEnd w:id="358"/>
    <w:bookmarkStart w:id="359" w:name="_e547a69ffad2d1de76cbcccd1abc18d3"/>
    <w:bookmarkEnd w:id="359"/>
    <w:bookmarkStart w:id="360" w:name="_9faf32b21b0c1fa0b57edbc07c19e313"/>
    <w:bookmarkEnd w:id="360"/>
    <w:bookmarkStart w:id="361" w:name="_27a17203a8dd4ea5b7da4f0ca5dbd258"/>
    <w:bookmarkEnd w:id="361"/>
    <w:bookmarkStart w:id="362" w:name="_98faaa14637e07cb796843dcac7baea5"/>
    <w:bookmarkEnd w:id="362"/>
    <w:bookmarkStart w:id="363" w:name="_e4d9117f1c20a97b8c3ca2f1aae81a69"/>
    <w:bookmarkEnd w:id="363"/>
    <w:bookmarkStart w:id="364" w:name="_de8d5e33d5d09130425a4f677c0b1749"/>
    <w:bookmarkEnd w:id="364"/>
    <w:bookmarkStart w:id="365" w:name="_2a8bc56787d519ed5097b7f4ff89f734"/>
    <w:bookmarkEnd w:id="365"/>
    <w:bookmarkStart w:id="366" w:name="_045ba6cf9141e0ae6c2567a7d26c78b3"/>
    <w:bookmarkEnd w:id="366"/>
    <w:bookmarkStart w:id="367" w:name="_7d1652e9468410f404a4e5c5a2dceb6a"/>
    <w:bookmarkEnd w:id="367"/>
    <w:bookmarkStart w:id="368" w:name="_da96a6baafabc45549ea16993d97ae40"/>
    <w:bookmarkEnd w:id="368"/>
    <w:bookmarkStart w:id="369" w:name="_1c23b0ecc2dfd7d4df474c9c23b18f06"/>
    <w:bookmarkEnd w:id="369"/>
    <w:bookmarkStart w:id="370" w:name="_44766dab1dfc4857cfd088e171a5e2b7"/>
    <w:bookmarkEnd w:id="370"/>
    <w:bookmarkStart w:id="371" w:name="_6eebb9949cb6c3a3b1a873daeb016a28"/>
    <w:bookmarkEnd w:id="371"/>
    <w:bookmarkStart w:id="372" w:name="_c2237eff2d2742e247dbb756df2efccf"/>
    <w:bookmarkEnd w:id="372"/>
    <w:bookmarkStart w:id="373" w:name="_ec68a74dce84d52fabed1165608ba389"/>
    <w:bookmarkEnd w:id="373"/>
    <w:bookmarkStart w:id="374" w:name="_42ee4f08351947068c7bbdbeda13c865"/>
    <w:bookmarkEnd w:id="374"/>
    <w:bookmarkStart w:id="375" w:name="_e859cfb90647f6d87b297554b6bc095c"/>
    <w:bookmarkEnd w:id="375"/>
    <w:bookmarkStart w:id="376" w:name="_f25c945d7d5c90855abc55eb5fa33f3c"/>
    <w:bookmarkEnd w:id="376"/>
    <w:bookmarkStart w:id="377" w:name="_d872a0a7aac1c56b17c70fb74b007f85"/>
    <w:bookmarkEnd w:id="377"/>
    <w:bookmarkStart w:id="378" w:name="_310e6fc2548cfe9becd50ba54807a686"/>
    <w:bookmarkEnd w:id="378"/>
    <w:bookmarkStart w:id="379" w:name="_a19af6994d3157272e3d049dc5302959"/>
    <w:bookmarkEnd w:id="379"/>
    <w:bookmarkStart w:id="380" w:name="_71a86f8cc9f68ce0a21d420d94855df2"/>
    <w:bookmarkEnd w:id="380"/>
    <w:bookmarkStart w:id="381" w:name="_8a9f794db7860b76edb9c6e444a0c570"/>
    <w:bookmarkEnd w:id="381"/>
    <w:bookmarkStart w:id="382" w:name="_ee211c18bc7fd16726e352260b18a0c8"/>
    <w:bookmarkEnd w:id="382"/>
    <w:bookmarkStart w:id="383" w:name="_5d6629da2e25678bb30619c48cc9c837"/>
    <w:bookmarkEnd w:id="383"/>
    <w:bookmarkStart w:id="384" w:name="_2178fbd3b63d99830eec6be48815d604"/>
    <w:bookmarkEnd w:id="384"/>
    <w:bookmarkStart w:id="385" w:name="_92bbaea47ad60f58deabd7d25ac37c23"/>
    <w:bookmarkEnd w:id="385"/>
    <w:bookmarkStart w:id="386" w:name="_316f7c2ea5d01c738298334c889fde6b"/>
    <w:bookmarkEnd w:id="386"/>
    <w:bookmarkStart w:id="387" w:name="_3eedb03e3a68997c124216e54955fc49"/>
    <w:bookmarkEnd w:id="387"/>
    <w:bookmarkStart w:id="388" w:name="_a17a1b8d9197c2a92e4df467202b9b72"/>
    <w:bookmarkEnd w:id="388"/>
    <w:bookmarkStart w:id="389" w:name="_3bf4427ff330469dfb89857099876d60"/>
    <w:bookmarkEnd w:id="389"/>
    <w:bookmarkStart w:id="390" w:name="_a19e1ba3112ce656da44640d51d12c15"/>
    <w:bookmarkEnd w:id="390"/>
    <w:bookmarkStart w:id="391" w:name="_17b7c2c8670109255761138a15658ac0"/>
    <w:bookmarkEnd w:id="391"/>
    <w:bookmarkStart w:id="392" w:name="_0f10d950404e2980240d4bfee964a550"/>
    <w:bookmarkEnd w:id="392"/>
    <w:bookmarkStart w:id="393" w:name="_66c64328267fc362e74ee6c28c3aac68"/>
    <w:bookmarkEnd w:id="393"/>
    <w:bookmarkStart w:id="394" w:name="_fb38f7ac50d867855a09d18b8f14ab85"/>
    <w:bookmarkEnd w:id="394"/>
    <w:bookmarkStart w:id="395" w:name="_bf2419638fe6581860392a597cb9c03c"/>
    <w:bookmarkEnd w:id="395"/>
    <w:bookmarkStart w:id="396" w:name="_7a575dd495174abaab66c6748d87f232"/>
    <w:bookmarkEnd w:id="396"/>
    <w:bookmarkStart w:id="397" w:name="_b8724b4ad47747d493019c1da692b407"/>
    <w:bookmarkEnd w:id="397"/>
    <w:bookmarkStart w:id="398" w:name="_9fa15f9d4ad19a598052375a35466f9f"/>
    <w:bookmarkEnd w:id="398"/>
    <w:bookmarkStart w:id="399" w:name="_9f3b1c3f5a25d14c8a6459324d029a95"/>
    <w:bookmarkEnd w:id="399"/>
    <w:bookmarkStart w:id="400" w:name="_2b9fecee3e1225d9d7583b59d5ba03ec"/>
    <w:bookmarkEnd w:id="400"/>
    <w:bookmarkStart w:id="401" w:name="_21e84a2b4d34c6b25321b365346174a0"/>
    <w:bookmarkEnd w:id="401"/>
    <w:bookmarkStart w:id="402" w:name="_34ff35137eb8bb93dd37ff3852cabace"/>
    <w:bookmarkEnd w:id="402"/>
    <w:bookmarkStart w:id="403" w:name="_53d5a360b90562e3441cc87b88756f45"/>
    <w:bookmarkEnd w:id="403"/>
    <w:bookmarkStart w:id="404" w:name="_82f6f49d2fc303e88d463923b8de6d6d"/>
    <w:bookmarkEnd w:id="404"/>
    <w:bookmarkStart w:id="405" w:name="_100b6d7ff55e7735cac4fccf3b7330ad"/>
    <w:bookmarkEnd w:id="405"/>
    <w:bookmarkStart w:id="406" w:name="_2b8ee69f2e966d848a912d52a60b697a"/>
    <w:bookmarkEnd w:id="406"/>
    <w:bookmarkStart w:id="407" w:name="_45210807920ba970c946175e04bde339"/>
    <w:bookmarkEnd w:id="407"/>
    <w:bookmarkStart w:id="408" w:name="_c40dcf762d14fb945f90934f537e065f"/>
    <w:bookmarkEnd w:id="408"/>
    <w:bookmarkStart w:id="409" w:name="_c9cfb391ece9a46120c14134d69cb8db"/>
    <w:bookmarkEnd w:id="409"/>
    <w:bookmarkStart w:id="410" w:name="_83b1cb855d5f232020a7f3fb233bec52"/>
    <w:bookmarkEnd w:id="410"/>
    <w:bookmarkStart w:id="411" w:name="_25aee18cf6c1e6d4cfde5287abf21a6f"/>
    <w:bookmarkEnd w:id="411"/>
    <w:bookmarkStart w:id="412" w:name="_417478e8b118cf972d0fc7c23d2a8680"/>
    <w:bookmarkEnd w:id="412"/>
    <w:bookmarkStart w:id="413" w:name="_a7eb9c4f5bfeec62a3e71773e8c906e2"/>
    <w:bookmarkEnd w:id="413"/>
    <w:bookmarkStart w:id="414" w:name="_76ae2275124ccbff281ca0af39d86964"/>
    <w:bookmarkEnd w:id="414"/>
    <w:bookmarkStart w:id="415" w:name="_3308203052d436d167242373587dd295"/>
    <w:bookmarkEnd w:id="415"/>
    <w:bookmarkStart w:id="416" w:name="_b24e81ed629e821328e8942ddf95d17f"/>
    <w:bookmarkEnd w:id="416"/>
    <w:bookmarkStart w:id="417" w:name="_2bb2e3e0b0fc6e7fc262ce0b8a8521b3"/>
    <w:bookmarkEnd w:id="417"/>
    <w:bookmarkStart w:id="418" w:name="_cbcc298ed1333215f0ad76a77cb4d9c2"/>
    <w:bookmarkEnd w:id="418"/>
    <w:bookmarkStart w:id="419" w:name="_0de5de8e67ade46d34b23510aef86cf9"/>
    <w:bookmarkEnd w:id="419"/>
    <w:bookmarkStart w:id="420" w:name="_2f27d98595d0e1a01f087de384a82a31"/>
    <w:bookmarkEnd w:id="420"/>
    <w:bookmarkStart w:id="421" w:name="_79be144e0d3bd2064fddd398f85d1f7c"/>
    <w:bookmarkEnd w:id="421"/>
    <w:bookmarkStart w:id="422" w:name="_5f1353b3c60fea3004abdade4f68c028"/>
    <w:bookmarkEnd w:id="422"/>
    <w:bookmarkStart w:id="423" w:name="_cf60dbfa733541ac9edf39a88df438c0"/>
    <w:bookmarkEnd w:id="423"/>
    <w:bookmarkStart w:id="424" w:name="_cc5e2aabe3ef3e9da58fb39429595a61"/>
    <w:bookmarkEnd w:id="424"/>
    <w:bookmarkStart w:id="425" w:name="_1e9ee9c86749029936f8d41973cbf386"/>
    <w:bookmarkEnd w:id="425"/>
    <w:bookmarkStart w:id="426" w:name="_0c872e65a4e6cb244c03faf5c779b289"/>
    <w:bookmarkEnd w:id="426"/>
    <w:bookmarkStart w:id="427" w:name="_5ace3197179ca129c18bd8bf650f2f13"/>
    <w:bookmarkEnd w:id="427"/>
    <w:bookmarkStart w:id="428" w:name="_e45bd4e677df2e905f1db110f93ae718"/>
    <w:bookmarkEnd w:id="428"/>
    <w:bookmarkStart w:id="429" w:name="_f8b0cfc0cb9e569aeecaa3bf3a62688a"/>
    <w:bookmarkEnd w:id="429"/>
    <w:bookmarkStart w:id="430" w:name="_7c5f290fd26d41e73d6a333c1bd37b7b"/>
    <w:bookmarkEnd w:id="430"/>
    <w:bookmarkStart w:id="431" w:name="_c27b619a49b007237381793166c94775"/>
    <w:bookmarkEnd w:id="431"/>
    <w:bookmarkStart w:id="432" w:name="_695e905275670a4d583e9d0574035364"/>
    <w:bookmarkEnd w:id="432"/>
    <w:bookmarkStart w:id="433" w:name="_02e5b6b2d1ce5c03dbb957425ece5612"/>
    <w:bookmarkEnd w:id="433"/>
    <w:bookmarkStart w:id="434" w:name="_7b00981ce6222c0a53e21e844b296402"/>
    <w:bookmarkEnd w:id="434"/>
    <w:bookmarkStart w:id="435" w:name="_bbbea91081eee2ba7e30d9c4c96782e6"/>
    <w:bookmarkEnd w:id="435"/>
    <w:bookmarkStart w:id="436" w:name="_a51e74666584987745a19d0204795ae4"/>
    <w:bookmarkEnd w:id="436"/>
    <w:bookmarkStart w:id="437" w:name="_bd0c04ae5c1bd3abf72cbd820bf2c587"/>
    <w:bookmarkEnd w:id="437"/>
    <w:bookmarkStart w:id="438" w:name="_84f8f4b59d0c70a6ec5295f53ba029a1"/>
    <w:bookmarkEnd w:id="438"/>
    <w:bookmarkStart w:id="439" w:name="_50dc6890142e6a92c291c282a647b838"/>
    <w:bookmarkEnd w:id="439"/>
    <w:bookmarkStart w:id="440" w:name="_460aa4c2b814e67fedd1f0d6392cb64a"/>
    <w:bookmarkEnd w:id="440"/>
    <w:bookmarkStart w:id="441" w:name="_1a9dccd187e983aaffd688e99facd8a2"/>
    <w:bookmarkEnd w:id="441"/>
    <w:bookmarkStart w:id="442" w:name="_91df7273899487765771c4f0cd761dba"/>
    <w:bookmarkEnd w:id="442"/>
    <w:bookmarkStart w:id="443" w:name="_358ea22ac9e7e054f5922393a9adb21a"/>
    <w:bookmarkEnd w:id="443"/>
    <w:bookmarkStart w:id="444" w:name="_705ff127d2c8d90016ae45c864301aa2"/>
    <w:bookmarkEnd w:id="444"/>
    <w:bookmarkStart w:id="445" w:name="_79bf5f0f57b75ad0a8e54e48df71c0ca"/>
    <w:bookmarkEnd w:id="445"/>
    <w:bookmarkStart w:id="446" w:name="_acc2026c77e7f13fe6a89a375cff271d"/>
    <w:bookmarkEnd w:id="446"/>
    <w:bookmarkStart w:id="447" w:name="_bcc37aa7ba8956cad3e99b2c7708dc62"/>
    <w:bookmarkEnd w:id="447"/>
    <w:bookmarkStart w:id="448" w:name="_e75fbf6de3a617d9fb7a413a757ba374"/>
    <w:bookmarkEnd w:id="448"/>
    <w:bookmarkStart w:id="449" w:name="_0543fde5a288f77ba05118bfc4a22940"/>
    <w:bookmarkEnd w:id="449"/>
    <w:bookmarkStart w:id="450" w:name="_168d2cde5b7ae2bc9dea8261c8559e2b"/>
    <w:bookmarkEnd w:id="450"/>
    <w:bookmarkStart w:id="451" w:name="_9946f447c6728f75262ef1ca777edeae"/>
    <w:bookmarkEnd w:id="451"/>
    <w:bookmarkStart w:id="452" w:name="_7523b316fc69ffb4519e3d73144653cd"/>
    <w:bookmarkEnd w:id="452"/>
    <w:bookmarkStart w:id="453" w:name="_222ce0cafe7bb8bb80d92f4fc749d095"/>
    <w:bookmarkEnd w:id="453"/>
    <w:bookmarkStart w:id="454" w:name="_e61141adbc5ef91ad09c7476d0452dc1"/>
    <w:bookmarkEnd w:id="454"/>
    <w:bookmarkStart w:id="455" w:name="_262907d8e80f43a09401e1edaaa041cd"/>
    <w:bookmarkEnd w:id="455"/>
    <w:bookmarkStart w:id="456" w:name="_278d41be347424b227dcf79067ea19ba"/>
    <w:bookmarkEnd w:id="456"/>
    <w:bookmarkStart w:id="457" w:name="_2fb53b8487eb4a5a5d0b3ee7afb7cb7e"/>
    <w:bookmarkEnd w:id="457"/>
    <w:bookmarkStart w:id="458" w:name="_6b081db2b50e89008d8a2d5b5785bb74"/>
    <w:bookmarkStart w:id="459" w:name="_7282c7e41a206a8e68197a8a1ade24b3"/>
    <w:p>
      <w:pPr>
        <w:pStyle w:val="Heading1"/>
        <w:keepNext/>
        <w:pageBreakBefore w:val="1"/>
      </w:pPr>
      <w:r>
        <w:t>Disclaimer</w:t>
      </w:r>
    </w:p>
    <w:p>
      <w:pPr>
        <w:pStyle w:val="BodyText"/>
        <w:ind w:leftChars="0" w:left="0" w:right="0"/>
      </w:pPr>
      <w:r>
        <w:t xml:space="preserve">Il presente documento («Documento») analizza, nel periodo compreso tra il 31 dicembre 2017 e il 31 dicembre 2022, i risultati conseguiti dalla società </w:t>
      </w:r>
      <w:r>
        <w:rPr>
          <w:i/>
          <w:iCs/>
        </w:rPr>
        <w:t>Pilot S.r.l.</w:t>
      </w:r>
      <w:r>
        <w:t xml:space="preserve"> («Società»), che svolge l’attività economica classificata come </w:t>
      </w:r>
      <w:r>
        <w:rPr>
          <w:i/>
          <w:iCs/>
        </w:rPr>
        <w:t>Produzione di prodotti di panetteria freschi</w:t>
      </w:r>
      <w:r>
        <w:t xml:space="preserve"> (codice ATECO 10.71.10).</w:t>
      </w:r>
    </w:p>
    <w:p>
      <w:pPr>
        <w:pStyle w:val="BodyText"/>
        <w:ind w:leftChars="0" w:left="0" w:right="0"/>
      </w:pPr>
      <w:r>
        <w:t>Il Documento si compone delle seguenti sezioni:</w:t>
      </w:r>
    </w:p>
    <w:p>
      <w:pPr>
        <w:pStyle w:val="ListBullet"/>
        <w:numPr>
          <w:ilvl w:val="0"/>
          <w:numId w:val="2"/>
        </w:numPr>
        <w:ind w:leftChars="0" w:left="480" w:right="0"/>
      </w:pPr>
      <w:hyperlink xmlns:r="http://schemas.openxmlformats.org/officeDocument/2006/relationships" r:id="rId19">
        <w:r>
          <w:rPr>
            <w:rStyle w:val="Hyperlink"/>
          </w:rPr>
          <w:t>Sintesi dell’ultimo periodo</w:t>
        </w:r>
      </w:hyperlink>
      <w:bookmarkStart w:id="460" w:name="_5bb7a54a8196f2939c460ed88c0be8a6"/>
      <w:bookmarkEnd w:id="460"/>
    </w:p>
    <w:p>
      <w:pPr>
        <w:pStyle w:val="ListBullet"/>
        <w:numPr>
          <w:ilvl w:val="0"/>
          <w:numId w:val="2"/>
        </w:numPr>
        <w:ind w:leftChars="0" w:left="480" w:right="0"/>
      </w:pPr>
      <w:hyperlink xmlns:r="http://schemas.openxmlformats.org/officeDocument/2006/relationships" r:id="rId20">
        <w:r>
          <w:rPr>
            <w:rStyle w:val="Hyperlink"/>
          </w:rPr>
          <w:t>Stato patrimoniale</w:t>
        </w:r>
      </w:hyperlink>
      <w:bookmarkStart w:id="461" w:name="_5b8e8213466d0e01b616d9b6b4d96aa1"/>
      <w:bookmarkEnd w:id="461"/>
    </w:p>
    <w:p>
      <w:pPr>
        <w:pStyle w:val="ListBullet"/>
        <w:numPr>
          <w:ilvl w:val="0"/>
          <w:numId w:val="2"/>
        </w:numPr>
        <w:ind w:leftChars="0" w:left="480" w:right="0"/>
      </w:pPr>
      <w:hyperlink xmlns:r="http://schemas.openxmlformats.org/officeDocument/2006/relationships" r:id="rId21">
        <w:r>
          <w:rPr>
            <w:rStyle w:val="Hyperlink"/>
          </w:rPr>
          <w:t>Conto economico</w:t>
        </w:r>
      </w:hyperlink>
      <w:bookmarkStart w:id="462" w:name="_ec7c033fe0e2e16c0341e9bdedd6cade"/>
      <w:bookmarkEnd w:id="462"/>
    </w:p>
    <w:p>
      <w:pPr>
        <w:pStyle w:val="ListBullet"/>
        <w:numPr>
          <w:ilvl w:val="0"/>
          <w:numId w:val="2"/>
        </w:numPr>
        <w:ind w:leftChars="0" w:left="480" w:right="0"/>
      </w:pPr>
      <w:hyperlink xmlns:r="http://schemas.openxmlformats.org/officeDocument/2006/relationships" r:id="rId22">
        <w:r>
          <w:rPr>
            <w:rStyle w:val="Hyperlink"/>
          </w:rPr>
          <w:t>Rendiconto finanziario</w:t>
        </w:r>
      </w:hyperlink>
      <w:bookmarkStart w:id="463" w:name="_6ebd69c83e973140abbdb1ee062083a3"/>
      <w:bookmarkEnd w:id="463"/>
    </w:p>
    <w:p>
      <w:pPr>
        <w:pStyle w:val="ListBullet"/>
        <w:numPr>
          <w:ilvl w:val="0"/>
          <w:numId w:val="2"/>
        </w:numPr>
        <w:ind w:leftChars="0" w:left="480" w:right="0"/>
      </w:pPr>
      <w:hyperlink xmlns:r="http://schemas.openxmlformats.org/officeDocument/2006/relationships" r:id="rId23">
        <w:r>
          <w:rPr>
            <w:rStyle w:val="Hyperlink"/>
          </w:rPr>
          <w:t>Analisi indici di performance</w:t>
        </w:r>
      </w:hyperlink>
      <w:bookmarkStart w:id="464" w:name="_76fc1115da7211eede817e428259c624"/>
      <w:bookmarkEnd w:id="464"/>
    </w:p>
    <w:p>
      <w:pPr>
        <w:pStyle w:val="ListBullet"/>
        <w:numPr>
          <w:ilvl w:val="0"/>
          <w:numId w:val="2"/>
        </w:numPr>
        <w:ind w:leftChars="0" w:left="480" w:right="0"/>
      </w:pPr>
      <w:hyperlink xmlns:r="http://schemas.openxmlformats.org/officeDocument/2006/relationships" r:id="rId24">
        <w:r>
          <w:rPr>
            <w:rStyle w:val="Hyperlink"/>
          </w:rPr>
          <w:t>Analisi indici di allerta</w:t>
        </w:r>
      </w:hyperlink>
      <w:bookmarkStart w:id="465" w:name="_16d1970093a7a28cac996206e82d30be"/>
      <w:bookmarkEnd w:id="465"/>
    </w:p>
    <w:p>
      <w:pPr>
        <w:pStyle w:val="ListBullet"/>
        <w:numPr>
          <w:ilvl w:val="0"/>
          <w:numId w:val="2"/>
        </w:numPr>
        <w:ind w:leftChars="0" w:left="480" w:right="0"/>
      </w:pPr>
      <w:hyperlink xmlns:r="http://schemas.openxmlformats.org/officeDocument/2006/relationships" r:id="rId25">
        <w:r>
          <w:rPr>
            <w:rStyle w:val="Hyperlink"/>
          </w:rPr>
          <w:t>Merito creditizio</w:t>
        </w:r>
      </w:hyperlink>
      <w:bookmarkStart w:id="466" w:name="_ba24711421d9306a4bfe654ce839805a"/>
      <w:bookmarkEnd w:id="466"/>
    </w:p>
    <w:p>
      <w:pPr>
        <w:pStyle w:val="BodyText"/>
        <w:ind w:leftChars="0" w:left="0" w:right="0"/>
      </w:pPr>
      <w:r>
        <w:t xml:space="preserve">Consultando le diverse sezioni è possibile valutare, mediante l’ausilio di grafici e tabelle, la composizione e l’andamento delle grandezze economico-finanziarie alla base delle ultime performance societarie. I prospetti esposti forniscono informazioni di dettaglio e consentono, grazie a collegamenti ipertestuali, di navigare all’interno di ciascuna sezione. Gli indici di performance sintetizzano e quantificano i fenomeni aziendali in atto, permettendo di valutare lo stato di salute della </w:t>
      </w:r>
      <w:r>
        <w:rPr>
          <w:i/>
          <w:iCs/>
        </w:rPr>
        <w:t>Società</w:t>
      </w:r>
      <w:r>
        <w:t xml:space="preserve">. In tal senso, il Documento esprime un proprio giudizio effettuando un confronto, per ciascun indice, con i valori medi riscontrati nel settore di riferimento, individuato mediante codice ATECO. Il Documento è completato da un’analisi degli indici di allerta dello stato di crisi d’impresa, così come introdotti dal Consiglio Nazionale dei Dottori Commercialisti e degli Esperti Contabili («CNDCEC»), e dalla valutazione del merito creditizio utile ai fini dell’accesso al Fondo di Garanzia per le PMI. La valutazione del merito creditizio dipende dalla probabilità di inadempimento della </w:t>
      </w:r>
      <w:r>
        <w:rPr>
          <w:i/>
          <w:iCs/>
        </w:rPr>
        <w:t>Società</w:t>
      </w:r>
      <w:r>
        <w:t>, calcolata sulla base del modulo economico-finanziario e del modulo andamentale (ove presente).</w:t>
      </w:r>
    </w:p>
    <w:p>
      <w:pPr>
        <w:pStyle w:val="BodyText"/>
        <w:ind w:leftChars="0" w:left="0" w:right="0"/>
      </w:pPr>
      <w:r>
        <w:t>Il Documento è stato elaborato utilizzando le seguenti informazioni, di cui si riporta la relativa data ultima di aggiornamento:</w:t>
      </w:r>
    </w:p>
    <w:p>
      <w:pPr>
        <w:pStyle w:val="ListBullet"/>
        <w:numPr>
          <w:ilvl w:val="0"/>
          <w:numId w:val="2"/>
        </w:numPr>
        <w:ind w:leftChars="0" w:left="480" w:right="0"/>
      </w:pPr>
      <w:r>
        <w:t xml:space="preserve">valori contabili della </w:t>
      </w:r>
      <w:r>
        <w:rPr>
          <w:i/>
          <w:iCs/>
        </w:rPr>
        <w:t>Società</w:t>
      </w:r>
      <w:r>
        <w:t xml:space="preserve"> aggiornati al 31 dicembre 2022</w:t>
      </w:r>
    </w:p>
    <w:p>
      <w:pPr>
        <w:pStyle w:val="ListBullet"/>
        <w:numPr>
          <w:ilvl w:val="0"/>
          <w:numId w:val="2"/>
        </w:numPr>
        <w:ind w:leftChars="0" w:left="480" w:right="0"/>
      </w:pPr>
      <w:r>
        <w:t xml:space="preserve">valori contabili di un campione di imprese italiane afferenti alla medesima divisione ATECO della </w:t>
      </w:r>
      <w:r>
        <w:rPr>
          <w:i/>
          <w:iCs/>
        </w:rPr>
        <w:t>Società</w:t>
      </w:r>
      <w:r>
        <w:t xml:space="preserve"> e aggiornati al 31 dicembre 2022</w:t>
      </w:r>
    </w:p>
    <w:p>
      <w:pPr>
        <w:pStyle w:val="ListBullet"/>
        <w:numPr>
          <w:ilvl w:val="0"/>
          <w:numId w:val="2"/>
        </w:numPr>
        <w:ind w:leftChars="0" w:left="480" w:right="0"/>
      </w:pPr>
      <w:r>
        <w:t xml:space="preserve">dati relativi alle esposizioni della </w:t>
      </w:r>
      <w:r>
        <w:rPr>
          <w:i/>
          <w:iCs/>
        </w:rPr>
        <w:t>Società</w:t>
      </w:r>
      <w:r>
        <w:t xml:space="preserve"> verso il sistema bancario e finanziario, contenuti nel prospetto della Centrale Rischi di Banca d’Italia aggiornato al 28 febbraio 2022</w:t>
      </w:r>
    </w:p>
    <w:p>
      <w:pPr>
        <w:pStyle w:val="Transition"/>
      </w:pPr>
    </w:p>
    <w:p>
      <w:pPr>
        <w:pStyle w:val="BodyText"/>
        <w:ind w:leftChars="0" w:left="0" w:right="0"/>
      </w:pPr>
      <w:r>
        <w:t xml:space="preserve">Il Documento è stato redatto da </w:t>
      </w:r>
      <w:r>
        <w:rPr>
          <w:i/>
          <w:iCs/>
        </w:rPr>
        <w:t>Sinapsi S.r.l.</w:t>
      </w:r>
      <w:r>
        <w:t xml:space="preserve">, utilizzando il software </w:t>
      </w:r>
      <w:r>
        <w:rPr>
          <w:i/>
          <w:iCs/>
        </w:rPr>
        <w:t>Tabula</w:t>
      </w:r>
      <w:r>
        <w:t>, al fine di presentare i dati di bilancio della Società.</w:t>
      </w:r>
    </w:p>
    <w:p>
      <w:pPr>
        <w:pStyle w:val="BodyText"/>
        <w:ind w:leftChars="0" w:left="0" w:right="0"/>
      </w:pPr>
      <w:r>
        <w:t xml:space="preserve">Questo Documento non può essere considerato esaustivo né essere assunto come base esclusiva per ogni eventuale operazione. Non sono né saranno fornite garanzie, implicite o esplicite, sulla precisione o sulla completezza di questo Documento o di qualsiasi altra informazione resa disponibile. Nel redigere questo Documento, </w:t>
      </w:r>
      <w:r>
        <w:rPr>
          <w:i/>
          <w:iCs/>
        </w:rPr>
        <w:t>Sinapsi S.r.l.</w:t>
      </w:r>
      <w:r>
        <w:t xml:space="preserve"> non si assume l’obbligo di fornire informazioni addizionali, né di aggiornare questo Documento o di correggere eventuali imprecisioni. Né questo Documento né ogni altra informazione scritta od orale assume valore contrattuale. Qualsiasi comunicazione relativa al Documento dovrà essere indirizzata a </w:t>
      </w:r>
      <w:r>
        <w:rPr>
          <w:i/>
          <w:iCs/>
        </w:rPr>
        <w:t>Sinapsi S.r.l.</w:t>
      </w:r>
      <w:r>
        <w:t>.</w:t>
      </w:r>
    </w:p>
    <w:p>
      <w:pPr>
        <w:pStyle w:val="Transition"/>
      </w:pPr>
    </w:p>
    <w:bookmarkEnd w:id="458"/>
    <w:bookmarkEnd w:id="459"/>
    <w:bookmarkStart w:id="467" w:name="_6bf8561eb40fdab492ba39588569590e"/>
    <w:bookmarkStart w:id="468" w:name="_a180d93e6dedfaf33ac9f13de57b3695"/>
    <w:bookmarkStart w:id="469" w:name="_a725912efd0832aeac6c9a81e16901f1"/>
    <w:bookmarkStart w:id="470" w:name="_fc43a456bfe102f7df80b2193bc624f1"/>
    <w:p>
      <w:pPr>
        <w:pStyle w:val="Heading1"/>
        <w:keepNext/>
        <w:pageBreakBefore w:val="1"/>
      </w:pPr>
      <w:r>
        <w:t>Sintesi al 31 dicembre 2022</w:t>
      </w:r>
    </w:p>
    <w:p>
      <w:pPr>
        <w:pStyle w:val="BodyText"/>
        <w:ind w:leftChars="0" w:left="0" w:right="0"/>
      </w:pPr>
      <w:r>
        <w:t xml:space="preserve">Sintesi dei risultati economico-finanziari conseguiti dalla società </w:t>
      </w:r>
      <w:r>
        <w:rPr>
          <w:i/>
          <w:iCs/>
        </w:rPr>
        <w:t>Pilot S.r.l.</w:t>
      </w:r>
      <w:r>
        <w:t xml:space="preserve"> nel periodo compreso dal </w:t>
      </w:r>
      <w:r>
        <w:rPr>
          <w:i/>
          <w:iCs/>
        </w:rPr>
        <w:t>31 dicembre 2021</w:t>
      </w:r>
      <w:r>
        <w:t xml:space="preserve"> al </w:t>
      </w:r>
      <w:r>
        <w:rPr>
          <w:i/>
          <w:iCs/>
        </w:rPr>
        <w:t>31 dicembre 2022</w:t>
      </w:r>
      <w:r>
        <w:t>.</w:t>
      </w:r>
    </w:p>
    <w:tbl>
      <w:tblPr>
        <w:tblStyle w:val="Table"/>
        <w:tblW w:w="100.000000%" w:type="pct"/>
        <w:tblInd w:w="0" w:type="dxa"/>
        <w:tblLook w:noHBand="false" w:noVBand="false" w:lastRow="false" w:lastColumn="false" w:firstRow="false" w:firstColumn="false"/>
      </w:tblPr>
      <w:tblGrid>
        <w:gridCol w:w="5099"/>
        <w:gridCol w:w="5099"/>
      </w:tblGrid>
      <w:tr>
        <w:trPr>
          <w:cnfStyle w:evenHBand="false" w:oddHBand="true" w:firstRow="false"/>
          <w:cantSplit/>
        </w:trPr>
        <w:tc>
          <w:tcPr>
            <w:cnfStyle w:evenVBand="false" w:oddVBand="true" w:firstColumn="false"/>
            <w:tcW w:w="50.000000%" w:type="pct"/>
          </w:tcPr>
          <w:p>
            <w:pPr>
              <w:ind w:leftChars="0" w:left="0" w:right="0"/>
              <w:keepNext/>
            </w:pPr>
            <w:r>
              <w:rPr>
                <w:b/>
                <w:bCs/>
              </w:rPr>
              <w:t>Dati bilancio fine periodo</w:t>
            </w:r>
          </w:p>
          <w:tbl>
            <w:tblPr>
              <w:tblStyle w:val="summary-table-1"/>
              <w:tblW w:w="100.000000%" w:type="pct"/>
              <w:tblInd w:w="0" w:type="dxa"/>
              <w:tblLook w:noHBand="false" w:noVBand="false" w:lastRow="false" w:lastColumn="false" w:firstRow="true" w:firstColumn="false"/>
            </w:tblPr>
            <w:tblGrid>
              <w:gridCol w:w="2564"/>
              <w:gridCol w:w="1079"/>
              <w:gridCol w:w="1079"/>
            </w:tblGrid>
            <w:tr>
              <w:trPr>
                <w:cnfStyle w:evenHBand="false" w:oddHBand="true" w:firstRow="true"/>
                <w:cantSplit/>
                <w:tblHeader/>
              </w:trPr>
              <w:tc>
                <w:tcPr>
                  <w:cnfStyle w:evenVBand="false" w:oddVBand="true" w:firstColumn="false"/>
                  <w:tcW w:w="54.308617%" w:type="pct"/>
                </w:tcPr>
                <w:p>
                  <w:pPr>
                    <w:ind w:leftChars="0" w:left="0" w:right="0"/>
                    <w:keepNext/>
                  </w:pPr>
                  <w:r>
                    <w:t>Valori in migliaia di €</w:t>
                  </w:r>
                </w:p>
              </w:tc>
              <w:tc>
                <w:tcPr>
                  <w:cnfStyle w:evenVBand="true" w:oddVBand="false" w:firstColumn="false"/>
                  <w:tcW w:w="22.845691%" w:type="pct"/>
                </w:tcPr>
                <w:p>
                  <w:pPr>
                    <w:pStyle w:val="table-level-columns"/>
                    <w:ind w:leftChars="0" w:left="0" w:right="0"/>
                    <w:keepNext/>
                  </w:pPr>
                  <w:r>
                    <w:t>dic-22</w:t>
                  </w:r>
                </w:p>
              </w:tc>
              <w:tc>
                <w:tcPr>
                  <w:cnfStyle w:evenVBand="false" w:oddVBand="true" w:firstColumn="false"/>
                  <w:tcW w:w="22.845691%" w:type="pct"/>
                </w:tcPr>
                <w:p>
                  <w:pPr>
                    <w:pStyle w:val="table-level-columns"/>
                    <w:ind w:leftChars="0" w:left="0" w:right="0"/>
                    <w:keepNext/>
                  </w:pPr>
                  <w:r>
                    <w:t>%</w:t>
                  </w:r>
                </w:p>
              </w:tc>
            </w:tr>
            <w:tr>
              <w:trPr>
                <w:cnfStyle w:evenHBand="false" w:oddHBand="true" w:firstRow="false"/>
                <w:cantSplit/>
              </w:trPr>
              <w:tc>
                <w:tcPr>
                  <w:cnfStyle w:evenVBand="false" w:oddVBand="true" w:firstColumn="false"/>
                  <w:tcW w:w="54.308617%" w:type="pct"/>
                </w:tcPr>
                <w:p>
                  <w:pPr>
                    <w:pStyle w:val="index-table-level-1"/>
                    <w:ind w:leftChars="0" w:left="0" w:right="0"/>
                    <w:keepNext/>
                  </w:pPr>
                  <w:hyperlink w:anchor="_305a60ac4ff8150ca68b3f45082b051a">
                    <w:r>
                      <w:rPr>
                        <w:rStyle w:val="Hyperlink"/>
                      </w:rPr>
                      <w:t>Fatturato netto</w:t>
                    </w:r>
                  </w:hyperlink>
                </w:p>
              </w:tc>
              <w:tc>
                <w:tcPr>
                  <w:cnfStyle w:evenVBand="true" w:oddVBand="false" w:firstColumn="false"/>
                  <w:tcW w:w="22.845691%" w:type="pct"/>
                </w:tcPr>
                <w:p>
                  <w:pPr>
                    <w:pStyle w:val="table-level-1"/>
                    <w:ind w:leftChars="0" w:left="0" w:right="0"/>
                    <w:keepNext/>
                  </w:pPr>
                  <w:r>
                    <w:t>6.850</w:t>
                  </w:r>
                </w:p>
              </w:tc>
              <w:tc>
                <w:tcPr>
                  <w:cnfStyle w:evenVBand="false" w:oddVBand="true" w:firstColumn="false"/>
                  <w:tcW w:w="22.845691%" w:type="pct"/>
                </w:tcPr>
                <w:p>
                  <w:pPr>
                    <w:pStyle w:val="table-level-1"/>
                    <w:ind w:leftChars="0" w:left="0" w:right="0"/>
                    <w:keepNext/>
                  </w:pPr>
                  <w:r>
                    <w:rPr>
                      <w:b w:val="0"/>
                      <w:color w:val="006837"/>
                      <w:u w:val="none"/>
                    </w:rPr>
                    <w:t>+9,56</w:t>
                  </w:r>
                </w:p>
              </w:tc>
            </w:tr>
            <w:tr>
              <w:trPr>
                <w:cnfStyle w:evenHBand="true" w:oddHBand="false" w:firstRow="false"/>
                <w:cantSplit/>
              </w:trPr>
              <w:tc>
                <w:tcPr>
                  <w:cnfStyle w:evenVBand="false" w:oddVBand="true" w:firstColumn="false"/>
                  <w:tcW w:w="54.308617%" w:type="pct"/>
                </w:tcPr>
                <w:p>
                  <w:pPr>
                    <w:pStyle w:val="index-table-level-1"/>
                    <w:ind w:leftChars="0" w:left="0" w:right="0"/>
                    <w:keepNext/>
                  </w:pPr>
                  <w:r>
                    <w:t>Attivo</w:t>
                  </w:r>
                </w:p>
              </w:tc>
              <w:tc>
                <w:tcPr>
                  <w:cnfStyle w:evenVBand="true" w:oddVBand="false" w:firstColumn="false"/>
                  <w:tcW w:w="22.845691%" w:type="pct"/>
                </w:tcPr>
                <w:p>
                  <w:pPr>
                    <w:pStyle w:val="table-level-1"/>
                    <w:ind w:leftChars="0" w:left="0" w:right="0"/>
                    <w:keepNext/>
                  </w:pPr>
                  <w:r>
                    <w:t>9.863</w:t>
                  </w:r>
                </w:p>
              </w:tc>
              <w:tc>
                <w:tcPr>
                  <w:cnfStyle w:evenVBand="false" w:oddVBand="true" w:firstColumn="false"/>
                  <w:tcW w:w="22.845691%" w:type="pct"/>
                </w:tcPr>
                <w:p>
                  <w:pPr>
                    <w:pStyle w:val="table-level-1"/>
                    <w:ind w:leftChars="0" w:left="0" w:right="0"/>
                    <w:keepNext/>
                  </w:pPr>
                  <w:r>
                    <w:rPr>
                      <w:b w:val="0"/>
                      <w:color w:val="006837"/>
                      <w:u w:val="none"/>
                    </w:rPr>
                    <w:t>+27,2</w:t>
                  </w:r>
                </w:p>
              </w:tc>
            </w:tr>
            <w:tr>
              <w:trPr>
                <w:cnfStyle w:evenHBand="false" w:oddHBand="true" w:firstRow="false"/>
                <w:cantSplit/>
              </w:trPr>
              <w:tc>
                <w:tcPr>
                  <w:cnfStyle w:evenVBand="false" w:oddVBand="true" w:firstColumn="false"/>
                  <w:tcW w:w="54.308617%" w:type="pct"/>
                </w:tcPr>
                <w:p>
                  <w:pPr>
                    <w:pStyle w:val="index-table-level-1"/>
                    <w:ind w:leftChars="0" w:left="0" w:right="0"/>
                    <w:keepNext/>
                  </w:pPr>
                  <w:hyperlink w:anchor="_5151f2961ee6627745beaa5e2aef60f0">
                    <w:r>
                      <w:rPr>
                        <w:rStyle w:val="Hyperlink"/>
                      </w:rPr>
                      <w:t>Patrimonio netto</w:t>
                    </w:r>
                  </w:hyperlink>
                </w:p>
              </w:tc>
              <w:tc>
                <w:tcPr>
                  <w:cnfStyle w:evenVBand="true" w:oddVBand="false" w:firstColumn="false"/>
                  <w:tcW w:w="22.845691%" w:type="pct"/>
                </w:tcPr>
                <w:p>
                  <w:pPr>
                    <w:pStyle w:val="table-level-1"/>
                    <w:ind w:leftChars="0" w:left="0" w:right="0"/>
                    <w:keepNext/>
                  </w:pPr>
                  <w:r>
                    <w:t>3.669</w:t>
                  </w:r>
                </w:p>
              </w:tc>
              <w:tc>
                <w:tcPr>
                  <w:cnfStyle w:evenVBand="false" w:oddVBand="true" w:firstColumn="false"/>
                  <w:tcW w:w="22.845691%" w:type="pct"/>
                </w:tcPr>
                <w:p>
                  <w:pPr>
                    <w:pStyle w:val="table-level-1"/>
                    <w:ind w:leftChars="0" w:left="0" w:right="0"/>
                    <w:keepNext/>
                  </w:pPr>
                  <w:r>
                    <w:rPr>
                      <w:b w:val="0"/>
                      <w:color w:val="006837"/>
                      <w:u w:val="none"/>
                    </w:rPr>
                    <w:t>+13,1</w:t>
                  </w:r>
                </w:p>
              </w:tc>
            </w:tr>
            <w:tr>
              <w:trPr>
                <w:cnfStyle w:evenHBand="true" w:oddHBand="false" w:firstRow="false"/>
                <w:cantSplit/>
              </w:trPr>
              <w:tc>
                <w:tcPr>
                  <w:cnfStyle w:evenVBand="false" w:oddVBand="true" w:firstColumn="false"/>
                  <w:tcW w:w="54.308617%" w:type="pct"/>
                </w:tcPr>
                <w:p>
                  <w:pPr>
                    <w:pStyle w:val="index-table-level-1"/>
                    <w:ind w:leftChars="0" w:left="0" w:right="0"/>
                    <w:keepNext/>
                  </w:pPr>
                  <w:hyperlink w:anchor="_5296e0879f0a7b859fdf2193a9d7f5f7">
                    <w:r>
                      <w:rPr>
                        <w:rStyle w:val="Hyperlink"/>
                      </w:rPr>
                      <w:t>Disponibilità liquide</w:t>
                    </w:r>
                  </w:hyperlink>
                </w:p>
              </w:tc>
              <w:tc>
                <w:tcPr>
                  <w:cnfStyle w:evenVBand="true" w:oddVBand="false" w:firstColumn="false"/>
                  <w:tcW w:w="22.845691%" w:type="pct"/>
                </w:tcPr>
                <w:p>
                  <w:pPr>
                    <w:pStyle w:val="table-level-1"/>
                    <w:ind w:leftChars="0" w:left="0" w:right="0"/>
                    <w:keepNext/>
                  </w:pPr>
                  <w:r>
                    <w:t>1.439</w:t>
                  </w:r>
                </w:p>
              </w:tc>
              <w:tc>
                <w:tcPr>
                  <w:cnfStyle w:evenVBand="false" w:oddVBand="true" w:firstColumn="false"/>
                  <w:tcW w:w="22.845691%" w:type="pct"/>
                </w:tcPr>
                <w:p>
                  <w:pPr>
                    <w:pStyle w:val="table-level-1"/>
                    <w:ind w:leftChars="0" w:left="0" w:right="0"/>
                    <w:keepNext/>
                  </w:pPr>
                  <w:r>
                    <w:rPr>
                      <w:b w:val="0"/>
                      <w:color w:val="006837"/>
                      <w:u w:val="none"/>
                    </w:rPr>
                    <w:t>+438,1</w:t>
                  </w:r>
                </w:p>
              </w:tc>
            </w:tr>
          </w:tbl>
          <w:p>
            <w:pPr>
              <w:pStyle w:val="TableBottomMargin"/>
            </w:pPr>
          </w:p>
          <w:p>
            <w:pPr>
              <w:ind w:leftChars="0" w:left="0" w:right="0"/>
            </w:pPr>
            <w:r>
              <w:rPr>
                <w:b/>
                <w:bCs/>
              </w:rPr>
              <w:t>Equilibrio finanziario</w:t>
            </w:r>
          </w:p>
          <w:p>
            <w:pPr>
              <w:pStyle w:val="Image"/>
              <w:ind w:leftChars="0" w:left="0" w:right="0"/>
            </w:pPr>
            <w:r>
              <w:rPr>
                <w:noProof/>
              </w:rPr>
              <w:drawing>
                <wp:inline xmlns:wp="http://schemas.openxmlformats.org/drawingml/2006/wordprocessingDrawing" distT="0" distB="0" distL="0" distR="0">
                  <wp:extent cx="2999104" cy="1922503"/>
                  <wp:effectExtent l="25400" t="0" r="0" b="0"/>
                  <wp:docPr id="103" name="5b1f2c2504fde6a9bf16b7fcee972218.png" descr="_static/temp/5b1f2c2504fde6a9bf16b7fcee97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b1f2c2504fde6a9bf16b7fcee972218.png" descr="_static/temp/5b1f2c2504fde6a9bf16b7fcee972218.png"/>
                          <pic:cNvPicPr>
                            <a:picLocks noChangeAspect="1" noChangeArrowheads="1"/>
                          </pic:cNvPicPr>
                        </pic:nvPicPr>
                        <pic:blipFill>
                          <a:blip xmlns:r="http://schemas.openxmlformats.org/officeDocument/2006/relationships" r:embed="rId26"/>
                          <a:srcRect/>
                          <a:stretch>
                            <a:fillRect/>
                          </a:stretch>
                        </pic:blipFill>
                        <pic:spPr bwMode="auto">
                          <a:xfrm>
                            <a:off x="0" y="0"/>
                            <a:ext cx="2999104" cy="1922503"/>
                          </a:xfrm>
                          <a:prstGeom prst="rect">
                            <a:avLst/>
                          </a:prstGeom>
                          <a:noFill/>
                        </pic:spPr>
                      </pic:pic>
                    </a:graphicData>
                  </a:graphic>
                </wp:inline>
              </w:drawing>
            </w:r>
          </w:p>
          <w:p>
            <w:pPr>
              <w:ind w:leftChars="0" w:left="0" w:right="0"/>
            </w:pPr>
            <w:r>
              <w:rPr>
                <w:b/>
                <w:bCs/>
              </w:rPr>
              <w:t>Principali indici di performance</w:t>
            </w:r>
          </w:p>
          <w:tbl>
            <w:tblPr>
              <w:tblStyle w:val="summary-table-2"/>
              <w:tblW w:w="100.000000%" w:type="pct"/>
              <w:tblInd w:w="0" w:type="dxa"/>
              <w:tblLook w:noHBand="false" w:noVBand="false" w:lastRow="false" w:lastColumn="false" w:firstRow="true" w:firstColumn="false"/>
            </w:tblPr>
            <w:tblGrid>
              <w:gridCol w:w="2564"/>
              <w:gridCol w:w="1079"/>
              <w:gridCol w:w="1079"/>
            </w:tblGrid>
            <w:tr>
              <w:trPr>
                <w:cnfStyle w:evenHBand="false" w:oddHBand="true" w:firstRow="true"/>
                <w:cantSplit/>
                <w:tblHeader/>
              </w:trPr>
              <w:tc>
                <w:tcPr>
                  <w:cnfStyle w:evenVBand="false" w:oddVBand="true" w:firstColumn="false"/>
                  <w:tcW w:w="54.308617%" w:type="pct"/>
                </w:tcPr>
                <w:p>
                  <w:pPr>
                    <w:ind w:leftChars="0" w:left="0" w:right="0"/>
                    <w:keepNext/>
                  </w:pPr>
                  <w:r>
                    <w:t>Indici</w:t>
                  </w:r>
                </w:p>
              </w:tc>
              <w:tc>
                <w:tcPr>
                  <w:cnfStyle w:evenVBand="true" w:oddVBand="false" w:firstColumn="false"/>
                  <w:tcW w:w="22.845691%" w:type="pct"/>
                </w:tcPr>
                <w:p>
                  <w:pPr>
                    <w:pStyle w:val="table-level-columns"/>
                    <w:ind w:leftChars="0" w:left="0" w:right="0"/>
                    <w:keepNext/>
                  </w:pPr>
                  <w:r>
                    <w:t>dic-22</w:t>
                  </w:r>
                </w:p>
              </w:tc>
              <w:tc>
                <w:tcPr>
                  <w:cnfStyle w:evenVBand="false" w:oddVBand="true" w:firstColumn="false"/>
                  <w:tcW w:w="22.845691%" w:type="pct"/>
                </w:tcPr>
                <w:p>
                  <w:pPr>
                    <w:pStyle w:val="table-level-columns"/>
                    <w:ind w:leftChars="0" w:left="0" w:right="0"/>
                    <w:keepNext/>
                  </w:pPr>
                  <w:r>
                    <w:t>%</w:t>
                  </w:r>
                </w:p>
              </w:tc>
            </w:tr>
            <w:tr>
              <w:trPr>
                <w:cnfStyle w:evenHBand="false" w:oddHBand="true" w:firstRow="false"/>
                <w:cantSplit/>
              </w:trPr>
              <w:tc>
                <w:tcPr>
                  <w:cnfStyle w:evenVBand="false" w:oddVBand="true" w:firstColumn="false"/>
                  <w:tcW w:w="54.308617%" w:type="pct"/>
                </w:tcPr>
                <w:p>
                  <w:pPr>
                    <w:pStyle w:val="index-table-level-1"/>
                    <w:ind w:leftChars="0" w:left="0" w:right="0"/>
                    <w:keepNext/>
                  </w:pPr>
                  <w:hyperlink w:anchor="_0d43e06404c1d961431c6db17d9dd83a">
                    <w:r>
                      <w:rPr>
                        <w:rStyle w:val="Hyperlink"/>
                      </w:rPr>
                      <w:t>Indebitamento oneroso</w:t>
                    </w:r>
                  </w:hyperlink>
                </w:p>
              </w:tc>
              <w:tc>
                <w:tcPr>
                  <w:cnfStyle w:evenVBand="true" w:oddVBand="false" w:firstColumn="false"/>
                  <w:tcW w:w="22.845691%" w:type="pct"/>
                </w:tcPr>
                <w:p>
                  <w:pPr>
                    <w:pStyle w:val="table-level-1"/>
                    <w:ind w:leftChars="0" w:left="0" w:right="0"/>
                    <w:keepNext/>
                  </w:pPr>
                  <w:r>
                    <w:t>1,26</w:t>
                  </w:r>
                </w:p>
              </w:tc>
              <w:tc>
                <w:tcPr>
                  <w:cnfStyle w:evenVBand="false" w:oddVBand="true" w:firstColumn="false"/>
                  <w:tcW w:w="22.845691%" w:type="pct"/>
                </w:tcPr>
                <w:p>
                  <w:pPr>
                    <w:pStyle w:val="table-level-1"/>
                    <w:ind w:leftChars="0" w:left="0" w:right="0"/>
                    <w:keepNext/>
                  </w:pPr>
                  <w:r>
                    <w:rPr>
                      <w:b w:val="0"/>
                      <w:color w:val="A50026"/>
                    </w:rPr>
                    <w:t>+27,2</w:t>
                  </w:r>
                </w:p>
              </w:tc>
            </w:tr>
            <w:tr>
              <w:trPr>
                <w:cnfStyle w:evenHBand="true" w:oddHBand="false" w:firstRow="false"/>
                <w:cantSplit/>
              </w:trPr>
              <w:tc>
                <w:tcPr>
                  <w:cnfStyle w:evenVBand="false" w:oddVBand="true" w:firstColumn="false"/>
                  <w:tcW w:w="54.308617%" w:type="pct"/>
                </w:tcPr>
                <w:p>
                  <w:pPr>
                    <w:pStyle w:val="index-table-level-1"/>
                    <w:ind w:leftChars="0" w:left="0" w:right="0"/>
                    <w:keepNext/>
                  </w:pPr>
                  <w:hyperlink w:anchor="_a49117249eadff59c07f357a6ec0d6be">
                    <w:r>
                      <w:rPr>
                        <w:rStyle w:val="Hyperlink"/>
                      </w:rPr>
                      <w:t>Capacità di rimborso</w:t>
                    </w:r>
                  </w:hyperlink>
                </w:p>
              </w:tc>
              <w:tc>
                <w:tcPr>
                  <w:cnfStyle w:evenVBand="true" w:oddVBand="false" w:firstColumn="false"/>
                  <w:tcW w:w="22.845691%" w:type="pct"/>
                </w:tcPr>
                <w:p>
                  <w:pPr>
                    <w:pStyle w:val="table-level-1"/>
                    <w:ind w:leftChars="0" w:left="0" w:right="0"/>
                    <w:keepNext/>
                  </w:pPr>
                  <w:r>
                    <w:t>2,99</w:t>
                  </w:r>
                </w:p>
              </w:tc>
              <w:tc>
                <w:tcPr>
                  <w:cnfStyle w:evenVBand="false" w:oddVBand="true" w:firstColumn="false"/>
                  <w:tcW w:w="22.845691%" w:type="pct"/>
                </w:tcPr>
                <w:p>
                  <w:pPr>
                    <w:pStyle w:val="table-level-1"/>
                    <w:ind w:leftChars="0" w:left="0" w:right="0"/>
                    <w:keepNext/>
                  </w:pPr>
                  <w:r>
                    <w:rPr>
                      <w:b w:val="0"/>
                      <w:color w:val="A50026"/>
                    </w:rPr>
                    <w:t>+58,9</w:t>
                  </w:r>
                </w:p>
              </w:tc>
            </w:tr>
            <w:tr>
              <w:trPr>
                <w:cnfStyle w:evenHBand="false" w:oddHBand="true" w:firstRow="false"/>
                <w:cantSplit/>
              </w:trPr>
              <w:tc>
                <w:tcPr>
                  <w:cnfStyle w:evenVBand="false" w:oddVBand="true" w:firstColumn="false"/>
                  <w:tcW w:w="54.308617%" w:type="pct"/>
                </w:tcPr>
                <w:p>
                  <w:pPr>
                    <w:pStyle w:val="index-table-level-1"/>
                    <w:ind w:leftChars="0" w:left="0" w:right="0"/>
                    <w:keepNext/>
                  </w:pPr>
                  <w:hyperlink w:anchor="_8fac259ec403ee51d9955bbdc2125042">
                    <w:r>
                      <w:rPr>
                        <w:rStyle w:val="Hyperlink"/>
                      </w:rPr>
                      <w:t>ROE [%]</w:t>
                    </w:r>
                  </w:hyperlink>
                </w:p>
              </w:tc>
              <w:tc>
                <w:tcPr>
                  <w:cnfStyle w:evenVBand="true" w:oddVBand="false" w:firstColumn="false"/>
                  <w:tcW w:w="22.845691%" w:type="pct"/>
                </w:tcPr>
                <w:p>
                  <w:pPr>
                    <w:pStyle w:val="table-level-1"/>
                    <w:ind w:leftChars="0" w:left="0" w:right="0"/>
                    <w:keepNext/>
                  </w:pPr>
                  <w:r>
                    <w:t>18,5</w:t>
                  </w:r>
                </w:p>
              </w:tc>
              <w:tc>
                <w:tcPr>
                  <w:cnfStyle w:evenVBand="false" w:oddVBand="true" w:firstColumn="false"/>
                  <w:tcW w:w="22.845691%" w:type="pct"/>
                </w:tcPr>
                <w:p>
                  <w:pPr>
                    <w:pStyle w:val="table-level-1"/>
                    <w:ind w:leftChars="0" w:left="0" w:right="0"/>
                    <w:keepNext/>
                  </w:pPr>
                  <w:r>
                    <w:rPr>
                      <w:b w:val="0"/>
                      <w:color w:val="A50026"/>
                    </w:rPr>
                    <w:t>-29,4</w:t>
                  </w:r>
                </w:p>
              </w:tc>
            </w:tr>
            <w:tr>
              <w:trPr>
                <w:cnfStyle w:evenHBand="true" w:oddHBand="false" w:firstRow="false"/>
                <w:cantSplit/>
              </w:trPr>
              <w:tc>
                <w:tcPr>
                  <w:cnfStyle w:evenVBand="false" w:oddVBand="true" w:firstColumn="false"/>
                  <w:tcW w:w="54.308617%" w:type="pct"/>
                </w:tcPr>
                <w:p>
                  <w:pPr>
                    <w:pStyle w:val="index-table-level-1"/>
                    <w:ind w:leftChars="0" w:left="0" w:right="0"/>
                    <w:keepNext/>
                  </w:pPr>
                  <w:hyperlink w:anchor="_2ec38e3311707734fa7f2c44f616e391">
                    <w:r>
                      <w:rPr>
                        <w:rStyle w:val="Hyperlink"/>
                      </w:rPr>
                      <w:t>ROI [%]</w:t>
                    </w:r>
                  </w:hyperlink>
                </w:p>
              </w:tc>
              <w:tc>
                <w:tcPr>
                  <w:cnfStyle w:evenVBand="true" w:oddVBand="false" w:firstColumn="false"/>
                  <w:tcW w:w="22.845691%" w:type="pct"/>
                </w:tcPr>
                <w:p>
                  <w:pPr>
                    <w:pStyle w:val="table-level-1"/>
                    <w:ind w:leftChars="0" w:left="0" w:right="0"/>
                    <w:keepNext/>
                  </w:pPr>
                  <w:r>
                    <w:t>16,8</w:t>
                  </w:r>
                </w:p>
              </w:tc>
              <w:tc>
                <w:tcPr>
                  <w:cnfStyle w:evenVBand="false" w:oddVBand="true" w:firstColumn="false"/>
                  <w:tcW w:w="22.845691%" w:type="pct"/>
                </w:tcPr>
                <w:p>
                  <w:pPr>
                    <w:pStyle w:val="table-level-1"/>
                    <w:ind w:leftChars="0" w:left="0" w:right="0"/>
                    <w:keepNext/>
                  </w:pPr>
                  <w:r>
                    <w:rPr>
                      <w:b w:val="0"/>
                      <w:color w:val="A50026"/>
                    </w:rPr>
                    <w:t>-24,4</w:t>
                  </w:r>
                </w:p>
              </w:tc>
            </w:tr>
            <w:tr>
              <w:trPr>
                <w:cnfStyle w:evenHBand="false" w:oddHBand="true" w:firstRow="false"/>
                <w:cantSplit/>
              </w:trPr>
              <w:tc>
                <w:tcPr>
                  <w:cnfStyle w:evenVBand="false" w:oddVBand="true" w:firstColumn="false"/>
                  <w:tcW w:w="54.308617%" w:type="pct"/>
                </w:tcPr>
                <w:p>
                  <w:pPr>
                    <w:pStyle w:val="index-table-level-1"/>
                    <w:ind w:leftChars="0" w:left="0" w:right="0"/>
                    <w:keepNext/>
                  </w:pPr>
                  <w:hyperlink w:anchor="_60ad1be71d8145c251c9a5ba2511a003">
                    <w:r>
                      <w:rPr>
                        <w:rStyle w:val="Hyperlink"/>
                      </w:rPr>
                      <w:t>Liquidità primaria</w:t>
                    </w:r>
                  </w:hyperlink>
                </w:p>
              </w:tc>
              <w:tc>
                <w:tcPr>
                  <w:cnfStyle w:evenVBand="true" w:oddVBand="false" w:firstColumn="false"/>
                  <w:tcW w:w="22.845691%" w:type="pct"/>
                </w:tcPr>
                <w:p>
                  <w:pPr>
                    <w:pStyle w:val="table-level-1"/>
                    <w:ind w:leftChars="0" w:left="0" w:right="0"/>
                    <w:keepNext/>
                  </w:pPr>
                  <w:r>
                    <w:t>1,29</w:t>
                  </w:r>
                </w:p>
              </w:tc>
              <w:tc>
                <w:tcPr>
                  <w:cnfStyle w:evenVBand="false" w:oddVBand="true" w:firstColumn="false"/>
                  <w:tcW w:w="22.845691%" w:type="pct"/>
                </w:tcPr>
                <w:p>
                  <w:pPr>
                    <w:pStyle w:val="table-level-1"/>
                    <w:ind w:leftChars="0" w:left="0" w:right="0"/>
                    <w:keepNext/>
                  </w:pPr>
                  <w:r>
                    <w:rPr>
                      <w:b w:val="0"/>
                      <w:color w:val="006837"/>
                      <w:u w:val="none"/>
                    </w:rPr>
                    <w:t>+59,7</w:t>
                  </w:r>
                </w:p>
              </w:tc>
            </w:tr>
            <w:tr>
              <w:trPr>
                <w:cnfStyle w:evenHBand="true" w:oddHBand="false" w:firstRow="false"/>
                <w:cantSplit/>
              </w:trPr>
              <w:tc>
                <w:tcPr>
                  <w:cnfStyle w:evenVBand="false" w:oddVBand="true" w:firstColumn="false"/>
                  <w:tcW w:w="54.308617%" w:type="pct"/>
                </w:tcPr>
                <w:p>
                  <w:pPr>
                    <w:pStyle w:val="index-table-level-1"/>
                    <w:ind w:leftChars="0" w:left="0" w:right="0"/>
                    <w:keepNext/>
                  </w:pPr>
                  <w:hyperlink w:anchor="_5cbed1201ef9de7f831f53ad4a53cb5b">
                    <w:r>
                      <w:rPr>
                        <w:rStyle w:val="Hyperlink"/>
                      </w:rPr>
                      <w:t>Durata ciclo commerciale [gg]</w:t>
                    </w:r>
                  </w:hyperlink>
                </w:p>
              </w:tc>
              <w:tc>
                <w:tcPr>
                  <w:cnfStyle w:evenVBand="true" w:oddVBand="false" w:firstColumn="false"/>
                  <w:tcW w:w="22.845691%" w:type="pct"/>
                </w:tcPr>
                <w:p>
                  <w:pPr>
                    <w:pStyle w:val="table-level-1"/>
                    <w:ind w:leftChars="0" w:left="0" w:right="0"/>
                    <w:keepNext/>
                  </w:pPr>
                  <w:r>
                    <w:t>74,4</w:t>
                  </w:r>
                </w:p>
              </w:tc>
              <w:tc>
                <w:tcPr>
                  <w:cnfStyle w:evenVBand="false" w:oddVBand="true" w:firstColumn="false"/>
                  <w:tcW w:w="22.845691%" w:type="pct"/>
                </w:tcPr>
                <w:p>
                  <w:pPr>
                    <w:pStyle w:val="table-level-1"/>
                    <w:ind w:leftChars="0" w:left="0" w:right="0"/>
                    <w:keepNext/>
                  </w:pPr>
                  <w:r>
                    <w:rPr>
                      <w:b w:val="0"/>
                      <w:color w:val="A50026"/>
                    </w:rPr>
                    <w:t>-11,6</w:t>
                  </w:r>
                </w:p>
              </w:tc>
            </w:tr>
          </w:tbl>
          <w:p>
            <w:pPr>
              <w:pStyle w:val="TableBottomMargin"/>
            </w:pPr>
          </w:p>
        </w:tc>
        <w:tc>
          <w:tcPr>
            <w:cnfStyle w:evenVBand="true" w:oddVBand="false" w:firstColumn="false"/>
            <w:tcW w:w="50.000000%" w:type="pct"/>
          </w:tcPr>
          <w:p>
            <w:pPr>
              <w:ind w:leftChars="0" w:left="0" w:right="0"/>
              <w:keepNext/>
            </w:pPr>
            <w:r>
              <w:t xml:space="preserve">I seguenti punti riassumono i principali risultati conseguiti dalla </w:t>
            </w:r>
            <w:r>
              <w:rPr>
                <w:i/>
                <w:iCs/>
              </w:rPr>
              <w:t>Società</w:t>
            </w:r>
            <w:r>
              <w:t xml:space="preserve"> nel corso dell’ultimo periodo:</w:t>
            </w:r>
          </w:p>
          <w:p>
            <w:pPr>
              <w:pStyle w:val="ListBullet"/>
              <w:numPr>
                <w:ilvl w:val="0"/>
                <w:numId w:val="2"/>
              </w:numPr>
              <w:ind w:leftChars="0" w:left="480" w:right="0"/>
            </w:pPr>
            <w:r>
              <w:t xml:space="preserve">Analizzando gli equilibri tra </w:t>
            </w:r>
            <w:r>
              <w:rPr>
                <w:b/>
                <w:bCs/>
              </w:rPr>
              <w:t>Attivo</w:t>
            </w:r>
            <w:r>
              <w:t xml:space="preserve"> e </w:t>
            </w:r>
            <w:r>
              <w:rPr>
                <w:b/>
                <w:bCs/>
              </w:rPr>
              <w:t>Fatturato</w:t>
            </w:r>
            <w:r>
              <w:t>, si nota che le attività sono cresciute a un ritmo maggiore rispetto al fatturato;</w:t>
            </w:r>
          </w:p>
          <w:p>
            <w:pPr>
              <w:pStyle w:val="ListBullet"/>
              <w:numPr>
                <w:ilvl w:val="0"/>
                <w:numId w:val="2"/>
              </w:numPr>
              <w:ind w:leftChars="0" w:left="480" w:right="0"/>
            </w:pPr>
            <w:r>
              <w:t xml:space="preserve">Tale crescita è dipesa principalmente dall’apporto di </w:t>
            </w:r>
            <w:r>
              <w:rPr>
                <w:b/>
                <w:bCs/>
              </w:rPr>
              <w:t>fonti di debito</w:t>
            </w:r>
            <w:r>
              <w:t>;</w:t>
            </w:r>
          </w:p>
          <w:p>
            <w:pPr>
              <w:pStyle w:val="ListBullet"/>
              <w:numPr>
                <w:ilvl w:val="0"/>
                <w:numId w:val="2"/>
              </w:numPr>
              <w:ind w:leftChars="0" w:left="480" w:right="0"/>
            </w:pPr>
            <w:r>
              <w:t xml:space="preserve">Analizzando le fonti finanziarie alla data di riferimento, si nota un ricorso maggiore alle fonti di debito rispetto al capitale della </w:t>
            </w:r>
            <w:r>
              <w:rPr>
                <w:i/>
                <w:iCs/>
              </w:rPr>
              <w:t>Società</w:t>
            </w:r>
            <w:r>
              <w:t>. I debiti più elevati sono debiti verso banche pari a 4.575.000 €;</w:t>
            </w:r>
          </w:p>
          <w:p>
            <w:pPr>
              <w:pStyle w:val="ListBullet"/>
              <w:numPr>
                <w:ilvl w:val="0"/>
                <w:numId w:val="2"/>
              </w:numPr>
              <w:ind w:leftChars="0" w:left="480" w:right="0"/>
            </w:pPr>
            <w:r>
              <w:t xml:space="preserve">Con riferimento al capitale della </w:t>
            </w:r>
            <w:r>
              <w:rPr>
                <w:i/>
                <w:iCs/>
              </w:rPr>
              <w:t>Società</w:t>
            </w:r>
            <w:r>
              <w:t xml:space="preserve">, lo stesso si è accresciuto del 13%, nonostante una riduzione di riserve pari a € -50.497. La </w:t>
            </w:r>
            <w:r>
              <w:rPr>
                <w:i/>
                <w:iCs/>
              </w:rPr>
              <w:t>Società</w:t>
            </w:r>
            <w:r>
              <w:t xml:space="preserve"> ha chiuso il periodo con un </w:t>
            </w:r>
            <w:r>
              <w:rPr>
                <w:b/>
                <w:bCs/>
              </w:rPr>
              <w:t>utile</w:t>
            </w:r>
            <w:r>
              <w:t xml:space="preserve"> pari a € 678.886;</w:t>
            </w:r>
          </w:p>
          <w:p>
            <w:pPr>
              <w:pStyle w:val="ListBullet"/>
              <w:numPr>
                <w:ilvl w:val="0"/>
                <w:numId w:val="2"/>
              </w:numPr>
              <w:ind w:leftChars="0" w:left="480" w:right="0"/>
            </w:pPr>
            <w:r>
              <w:t xml:space="preserve">Infine, le </w:t>
            </w:r>
            <w:r>
              <w:rPr>
                <w:b/>
                <w:bCs/>
              </w:rPr>
              <w:t>disponibilità liquide</w:t>
            </w:r>
            <w:r>
              <w:t xml:space="preserve"> sono incrementate di € 1.171.661;</w:t>
            </w:r>
          </w:p>
          <w:p>
            <w:pPr>
              <w:pStyle w:val="ListBullet"/>
              <w:numPr>
                <w:ilvl w:val="0"/>
                <w:numId w:val="2"/>
              </w:numPr>
              <w:ind w:leftChars="0" w:left="480" w:right="0"/>
            </w:pPr>
            <w:r>
              <w:t xml:space="preserve">I </w:t>
            </w:r>
            <w:r>
              <w:rPr>
                <w:b/>
                <w:bCs/>
              </w:rPr>
              <w:t>debiti finanziari</w:t>
            </w:r>
            <w:r>
              <w:t xml:space="preserve"> si attestano a livelli superiori rispetto agli standard di settore, tuttavia la </w:t>
            </w:r>
            <w:r>
              <w:rPr>
                <w:i/>
                <w:iCs/>
              </w:rPr>
              <w:t>Società</w:t>
            </w:r>
            <w:r>
              <w:t xml:space="preserve"> mantiene una discreta capacità di rimborsare le passività finanziarie;</w:t>
            </w:r>
          </w:p>
          <w:p>
            <w:pPr>
              <w:pStyle w:val="ListBullet"/>
              <w:numPr>
                <w:ilvl w:val="0"/>
                <w:numId w:val="2"/>
              </w:numPr>
              <w:ind w:leftChars="0" w:left="480" w:right="0"/>
            </w:pPr>
            <w:r>
              <w:t>I rendimenti per i soci (</w:t>
            </w:r>
            <w:r>
              <w:rPr>
                <w:b/>
                <w:bCs/>
              </w:rPr>
              <w:t>ROE</w:t>
            </w:r>
            <w:r>
              <w:t>) e operativi (</w:t>
            </w:r>
            <w:r>
              <w:rPr>
                <w:b/>
                <w:bCs/>
              </w:rPr>
              <w:t>ROI</w:t>
            </w:r>
            <w:r>
              <w:t>) sono entrambi superiori ai riferimenti settoriali;</w:t>
            </w:r>
          </w:p>
          <w:p>
            <w:pPr>
              <w:pStyle w:val="ListBullet"/>
              <w:numPr>
                <w:ilvl w:val="0"/>
                <w:numId w:val="2"/>
              </w:numPr>
              <w:ind w:leftChars="0" w:left="480" w:right="0"/>
            </w:pPr>
            <w:r>
              <w:t xml:space="preserve">La </w:t>
            </w:r>
            <w:r>
              <w:rPr>
                <w:i/>
                <w:iCs/>
              </w:rPr>
              <w:t>Società</w:t>
            </w:r>
            <w:r>
              <w:t xml:space="preserve"> appare non gestire efficientemente il suo </w:t>
            </w:r>
            <w:r>
              <w:rPr>
                <w:b/>
                <w:bCs/>
              </w:rPr>
              <w:t>ciclo commerciale</w:t>
            </w:r>
            <w:r>
              <w:t>, tuttavia dispone di sufficienti risorse liquidabili (</w:t>
            </w:r>
            <w:r>
              <w:rPr>
                <w:b/>
                <w:bCs/>
              </w:rPr>
              <w:t>liquidità primaria</w:t>
            </w:r>
            <w:r>
              <w:t>).</w:t>
            </w:r>
          </w:p>
        </w:tc>
      </w:tr>
    </w:tbl>
    <w:bookmarkEnd w:id="467"/>
    <w:bookmarkEnd w:id="468"/>
    <w:bookmarkEnd w:id="469"/>
    <w:bookmarkEnd w:id="470"/>
    <w:bookmarkStart w:id="471" w:name="_0182f955a1ffe9276ea59ee7f58d0cb6"/>
    <w:bookmarkStart w:id="472" w:name="_421b8cffcb4a530ab0a86eff6307010f"/>
    <w:bookmarkStart w:id="473" w:name="_4db375be80b8ff57fdeacebcdf69e644"/>
    <w:bookmarkStart w:id="474" w:name="_c6ae2fe11d3b900f663efd25a838004c"/>
    <w:p>
      <w:pPr>
        <w:pStyle w:val="Heading1"/>
        <w:keepNext/>
        <w:pageBreakBefore w:val="1"/>
      </w:pPr>
      <w:r>
        <w:t>Stato patrimoniale</w:t>
      </w:r>
    </w:p>
    <w:p>
      <w:pPr>
        <w:pStyle w:val="BodyText"/>
        <w:ind w:leftChars="0" w:left="0" w:right="0"/>
      </w:pPr>
      <w:r>
        <w:t xml:space="preserve">Questa sezione contiene i prospetti dello Stato patrimoniale della </w:t>
      </w:r>
      <w:r>
        <w:rPr>
          <w:i/>
          <w:iCs/>
        </w:rPr>
        <w:t>Società</w:t>
      </w:r>
      <w:r>
        <w:t>, riclassificati secondo il criterio funzionale. Tale criterio consente di verificare l’equilibrio fra investimenti e fonti di finanziamento nel medio periodo. I seguenti capitoli spiegano nel dettaglio la sua composizione, mentre le tabelle seguenti sintetizzano i risultati conseguiti nel periodo compreso tra il 31 dicembre 2017 e il 31 dicembre 2022 per il capitale investito netto e le fonti di finanziamento.</w:t>
      </w:r>
    </w:p>
    <w:p>
      <w:pPr>
        <w:pStyle w:val="BodyText"/>
        <w:ind w:leftChars="0" w:left="0" w:right="0"/>
      </w:pPr>
      <w:r>
        <w:rPr>
          <w:b/>
          <w:bCs/>
        </w:rPr>
        <w:t>Capitale investito netto</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3"/>
              <w:ind w:leftChars="0" w:left="0" w:right="0"/>
              <w:keepNext/>
            </w:pPr>
            <w:hyperlink w:anchor="_29ebf1d81f2de461da116e1be0058ae3">
              <w:r>
                <w:rPr>
                  <w:rStyle w:val="Hyperlink"/>
                </w:rPr>
                <w:t>Capitale investito netto</w:t>
              </w:r>
            </w:hyperlink>
          </w:p>
        </w:tc>
        <w:tc>
          <w:tcPr>
            <w:cnfStyle w:evenVBand="true" w:oddVBand="false" w:firstColumn="false"/>
            <w:tcW w:w="11.434303%" w:type="pct"/>
          </w:tcPr>
          <w:p>
            <w:pPr>
              <w:pStyle w:val="table-level-3"/>
              <w:ind w:leftChars="0" w:left="0" w:right="0"/>
              <w:keepNext/>
            </w:pPr>
            <w:r>
              <w:t>7.007</w:t>
            </w:r>
          </w:p>
        </w:tc>
        <w:tc>
          <w:tcPr>
            <w:cnfStyle w:evenVBand="false" w:oddVBand="true" w:firstColumn="false"/>
            <w:tcW w:w="11.434303%" w:type="pct"/>
          </w:tcPr>
          <w:p>
            <w:pPr>
              <w:pStyle w:val="table-level-3"/>
              <w:ind w:leftChars="0" w:left="0" w:right="0"/>
              <w:keepNext/>
            </w:pPr>
            <w:r>
              <w:t>6.343</w:t>
            </w:r>
          </w:p>
        </w:tc>
        <w:tc>
          <w:tcPr>
            <w:cnfStyle w:evenVBand="true" w:oddVBand="false" w:firstColumn="false"/>
            <w:tcW w:w="11.434303%" w:type="pct"/>
          </w:tcPr>
          <w:p>
            <w:pPr>
              <w:pStyle w:val="table-level-3"/>
              <w:ind w:leftChars="0" w:left="0" w:right="0"/>
              <w:keepNext/>
            </w:pPr>
            <w:r>
              <w:t>4.920</w:t>
            </w:r>
          </w:p>
        </w:tc>
        <w:tc>
          <w:tcPr>
            <w:cnfStyle w:evenVBand="false" w:oddVBand="true" w:firstColumn="false"/>
            <w:tcW w:w="11.434303%" w:type="pct"/>
          </w:tcPr>
          <w:p>
            <w:pPr>
              <w:pStyle w:val="table-level-3"/>
              <w:ind w:leftChars="0" w:left="0" w:right="0"/>
              <w:keepNext/>
            </w:pPr>
            <w:r>
              <w:t>4.555</w:t>
            </w:r>
          </w:p>
        </w:tc>
        <w:tc>
          <w:tcPr>
            <w:cnfStyle w:evenVBand="true" w:oddVBand="false" w:firstColumn="false"/>
            <w:tcW w:w="11.434303%" w:type="pct"/>
          </w:tcPr>
          <w:p>
            <w:pPr>
              <w:pStyle w:val="table-level-3"/>
              <w:ind w:leftChars="0" w:left="0" w:right="0"/>
              <w:keepNext/>
            </w:pPr>
            <w:r>
              <w:t>3.909</w:t>
            </w:r>
          </w:p>
        </w:tc>
        <w:tc>
          <w:tcPr>
            <w:cnfStyle w:evenVBand="false" w:oddVBand="true" w:firstColumn="false"/>
            <w:tcW w:w="11.434303%" w:type="pct"/>
          </w:tcPr>
          <w:p>
            <w:pPr>
              <w:pStyle w:val="table-level-3"/>
              <w:ind w:leftChars="0" w:left="0" w:right="0"/>
              <w:keepNext/>
            </w:pPr>
            <w:r>
              <w:t>3.629</w:t>
            </w:r>
          </w:p>
        </w:tc>
      </w:tr>
      <w:tr>
        <w:trPr>
          <w:cnfStyle w:evenHBand="true" w:oddHBand="false" w:firstRow="false"/>
          <w:cantSplit/>
        </w:trPr>
        <w:tc>
          <w:tcPr>
            <w:cnfStyle w:evenVBand="false" w:oddVBand="true" w:firstColumn="false"/>
            <w:tcW w:w="31.394183%" w:type="pct"/>
          </w:tcPr>
          <w:p>
            <w:pPr>
              <w:pStyle w:val="index-table-level-2"/>
              <w:ind w:leftChars="0" w:left="0" w:right="0"/>
              <w:keepNext/>
            </w:pPr>
            <w:hyperlink w:anchor="_1614ca74203022fc214f210368e7f8a7">
              <w:r>
                <w:rPr>
                  <w:rStyle w:val="Hyperlink"/>
                </w:rPr>
                <w:t>Attivo fisso netto</w:t>
              </w:r>
            </w:hyperlink>
          </w:p>
        </w:tc>
        <w:tc>
          <w:tcPr>
            <w:cnfStyle w:evenVBand="true" w:oddVBand="false" w:firstColumn="false"/>
            <w:tcW w:w="11.434303%" w:type="pct"/>
          </w:tcPr>
          <w:p>
            <w:pPr>
              <w:pStyle w:val="table-level-2"/>
              <w:ind w:leftChars="0" w:left="0" w:right="0"/>
              <w:keepNext/>
            </w:pPr>
            <w:r>
              <w:t>6.603</w:t>
            </w:r>
          </w:p>
        </w:tc>
        <w:tc>
          <w:tcPr>
            <w:cnfStyle w:evenVBand="false" w:oddVBand="true" w:firstColumn="false"/>
            <w:tcW w:w="11.434303%" w:type="pct"/>
          </w:tcPr>
          <w:p>
            <w:pPr>
              <w:pStyle w:val="table-level-2"/>
              <w:ind w:leftChars="0" w:left="0" w:right="0"/>
              <w:keepNext/>
            </w:pPr>
            <w:r>
              <w:t>5.911</w:t>
            </w:r>
          </w:p>
        </w:tc>
        <w:tc>
          <w:tcPr>
            <w:cnfStyle w:evenVBand="true" w:oddVBand="false" w:firstColumn="false"/>
            <w:tcW w:w="11.434303%" w:type="pct"/>
          </w:tcPr>
          <w:p>
            <w:pPr>
              <w:pStyle w:val="table-level-2"/>
              <w:ind w:leftChars="0" w:left="0" w:right="0"/>
              <w:keepNext/>
            </w:pPr>
            <w:r>
              <w:t>4.481</w:t>
            </w:r>
          </w:p>
        </w:tc>
        <w:tc>
          <w:tcPr>
            <w:cnfStyle w:evenVBand="false" w:oddVBand="true" w:firstColumn="false"/>
            <w:tcW w:w="11.434303%" w:type="pct"/>
          </w:tcPr>
          <w:p>
            <w:pPr>
              <w:pStyle w:val="table-level-2"/>
              <w:ind w:leftChars="0" w:left="0" w:right="0"/>
              <w:keepNext/>
            </w:pPr>
            <w:r>
              <w:t>4.285</w:t>
            </w:r>
          </w:p>
        </w:tc>
        <w:tc>
          <w:tcPr>
            <w:cnfStyle w:evenVBand="true" w:oddVBand="false" w:firstColumn="false"/>
            <w:tcW w:w="11.434303%" w:type="pct"/>
          </w:tcPr>
          <w:p>
            <w:pPr>
              <w:pStyle w:val="table-level-2"/>
              <w:ind w:leftChars="0" w:left="0" w:right="0"/>
              <w:keepNext/>
            </w:pPr>
            <w:r>
              <w:t>3.632</w:t>
            </w:r>
          </w:p>
        </w:tc>
        <w:tc>
          <w:tcPr>
            <w:cnfStyle w:evenVBand="false" w:oddVBand="true" w:firstColumn="false"/>
            <w:tcW w:w="11.434303%" w:type="pct"/>
          </w:tcPr>
          <w:p>
            <w:pPr>
              <w:pStyle w:val="table-level-2"/>
              <w:ind w:leftChars="0" w:left="0" w:right="0"/>
              <w:keepNext/>
            </w:pPr>
            <w:r>
              <w:t>3.079</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6961b6f453ac332c253e2cc1085431c">
              <w:r>
                <w:rPr>
                  <w:rStyle w:val="Hyperlink"/>
                </w:rPr>
                <w:t>Crediti versamenti soci</w:t>
              </w:r>
            </w:hyperlink>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200</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e5284d0cb4419cb41d8a0be9a642060f">
              <w:r>
                <w:rPr>
                  <w:rStyle w:val="Hyperlink"/>
                </w:rPr>
                <w:t>Immobilizzazioni immateriali</w:t>
              </w:r>
            </w:hyperlink>
          </w:p>
        </w:tc>
        <w:tc>
          <w:tcPr>
            <w:cnfStyle w:evenVBand="true" w:oddVBand="false" w:firstColumn="false"/>
            <w:tcW w:w="11.434303%" w:type="pct"/>
          </w:tcPr>
          <w:p>
            <w:pPr>
              <w:pStyle w:val="table-level-1"/>
              <w:ind w:leftChars="0" w:left="0" w:right="0"/>
              <w:keepNext/>
            </w:pPr>
            <w:r>
              <w:t>239,8</w:t>
            </w:r>
          </w:p>
        </w:tc>
        <w:tc>
          <w:tcPr>
            <w:cnfStyle w:evenVBand="false" w:oddVBand="true" w:firstColumn="false"/>
            <w:tcW w:w="11.434303%" w:type="pct"/>
          </w:tcPr>
          <w:p>
            <w:pPr>
              <w:pStyle w:val="table-level-1"/>
              <w:ind w:leftChars="0" w:left="0" w:right="0"/>
              <w:keepNext/>
            </w:pPr>
            <w:r>
              <w:t>206,7</w:t>
            </w:r>
          </w:p>
        </w:tc>
        <w:tc>
          <w:tcPr>
            <w:cnfStyle w:evenVBand="true" w:oddVBand="false" w:firstColumn="false"/>
            <w:tcW w:w="11.434303%" w:type="pct"/>
          </w:tcPr>
          <w:p>
            <w:pPr>
              <w:pStyle w:val="table-level-1"/>
              <w:ind w:leftChars="0" w:left="0" w:right="0"/>
              <w:keepNext/>
            </w:pPr>
            <w:r>
              <w:t>201,8</w:t>
            </w:r>
          </w:p>
        </w:tc>
        <w:tc>
          <w:tcPr>
            <w:cnfStyle w:evenVBand="false" w:oddVBand="true" w:firstColumn="false"/>
            <w:tcW w:w="11.434303%" w:type="pct"/>
          </w:tcPr>
          <w:p>
            <w:pPr>
              <w:pStyle w:val="table-level-1"/>
              <w:ind w:leftChars="0" w:left="0" w:right="0"/>
              <w:keepNext/>
            </w:pPr>
            <w:r>
              <w:t>154</w:t>
            </w:r>
          </w:p>
        </w:tc>
        <w:tc>
          <w:tcPr>
            <w:cnfStyle w:evenVBand="true" w:oddVBand="false" w:firstColumn="false"/>
            <w:tcW w:w="11.434303%" w:type="pct"/>
          </w:tcPr>
          <w:p>
            <w:pPr>
              <w:pStyle w:val="table-level-1"/>
              <w:ind w:leftChars="0" w:left="0" w:right="0"/>
              <w:keepNext/>
            </w:pPr>
            <w:r>
              <w:t>153</w:t>
            </w:r>
          </w:p>
        </w:tc>
        <w:tc>
          <w:tcPr>
            <w:cnfStyle w:evenVBand="false" w:oddVBand="true" w:firstColumn="false"/>
            <w:tcW w:w="11.434303%" w:type="pct"/>
          </w:tcPr>
          <w:p>
            <w:pPr>
              <w:pStyle w:val="table-level-1"/>
              <w:ind w:leftChars="0" w:left="0" w:right="0"/>
              <w:keepNext/>
            </w:pPr>
            <w:r>
              <w:t>165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Costi di impianto</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Costi di pubblicità e R&amp;S</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40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Diritti di brevetto</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Concessioni, licenze, marchi</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Avviamento</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Immobilizzazioni immat. in corso</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Altre immob. immateriali</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70</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Fondi ammortamento</w:t>
            </w:r>
          </w:p>
        </w:tc>
        <w:tc>
          <w:tcPr>
            <w:cnfStyle w:evenVBand="true" w:oddVBand="false" w:firstColumn="false"/>
            <w:tcW w:w="11.434303%" w:type="pct"/>
          </w:tcPr>
          <w:p>
            <w:pPr>
              <w:pStyle w:val="table-level-100"/>
              <w:ind w:leftChars="0" w:left="0" w:right="0"/>
              <w:keepNext/>
            </w:pPr>
            <w:r>
              <w:t>-249,7</w:t>
            </w:r>
          </w:p>
        </w:tc>
        <w:tc>
          <w:tcPr>
            <w:cnfStyle w:evenVBand="false" w:oddVBand="true" w:firstColumn="false"/>
            <w:tcW w:w="11.434303%" w:type="pct"/>
          </w:tcPr>
          <w:p>
            <w:pPr>
              <w:pStyle w:val="table-level-100"/>
              <w:ind w:leftChars="0" w:left="0" w:right="0"/>
              <w:keepNext/>
            </w:pPr>
            <w:r>
              <w:t>-209,8</w:t>
            </w:r>
          </w:p>
        </w:tc>
        <w:tc>
          <w:tcPr>
            <w:cnfStyle w:evenVBand="true" w:oddVBand="false" w:firstColumn="false"/>
            <w:tcW w:w="11.434303%" w:type="pct"/>
          </w:tcPr>
          <w:p>
            <w:pPr>
              <w:pStyle w:val="table-level-100"/>
              <w:ind w:leftChars="0" w:left="0" w:right="0"/>
              <w:keepNext/>
            </w:pPr>
            <w:r>
              <w:t>-176,2</w:t>
            </w:r>
          </w:p>
        </w:tc>
        <w:tc>
          <w:tcPr>
            <w:cnfStyle w:evenVBand="false" w:oddVBand="true" w:firstColumn="false"/>
            <w:tcW w:w="11.434303%" w:type="pct"/>
          </w:tcPr>
          <w:p>
            <w:pPr>
              <w:pStyle w:val="table-level-100"/>
              <w:ind w:leftChars="0" w:left="0" w:right="0"/>
              <w:keepNext/>
            </w:pPr>
            <w:r>
              <w:t>-146</w:t>
            </w:r>
          </w:p>
        </w:tc>
        <w:tc>
          <w:tcPr>
            <w:cnfStyle w:evenVBand="true" w:oddVBand="false" w:firstColumn="false"/>
            <w:tcW w:w="11.434303%" w:type="pct"/>
          </w:tcPr>
          <w:p>
            <w:pPr>
              <w:pStyle w:val="table-level-100"/>
              <w:ind w:leftChars="0" w:left="0" w:right="0"/>
              <w:keepNext/>
            </w:pPr>
            <w:r>
              <w:t>-122</w:t>
            </w:r>
          </w:p>
        </w:tc>
        <w:tc>
          <w:tcPr>
            <w:cnfStyle w:evenVBand="false" w:oddVBand="true" w:firstColumn="false"/>
            <w:tcW w:w="11.434303%" w:type="pct"/>
          </w:tcPr>
          <w:p>
            <w:pPr>
              <w:pStyle w:val="table-level-100"/>
              <w:ind w:leftChars="0" w:left="0" w:right="0"/>
              <w:keepNext/>
            </w:pPr>
            <w:r>
              <w:t>-100</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-10</w:t>
            </w:r>
          </w:p>
        </w:tc>
        <w:tc>
          <w:tcPr>
            <w:cnfStyle w:evenVBand="false" w:oddVBand="true" w:firstColumn="false"/>
            <w:tcW w:w="11.434303%" w:type="pct"/>
          </w:tcPr>
          <w:p>
            <w:pPr>
              <w:pStyle w:val="table-level-100"/>
              <w:ind w:leftChars="0" w:left="0" w:right="0"/>
              <w:keepNext/>
            </w:pPr>
            <w:r>
              <w:t>-2,5</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fa202cd8c4eab64b45cfba53036914b1">
              <w:r>
                <w:rPr>
                  <w:rStyle w:val="Hyperlink"/>
                </w:rPr>
                <w:t>Immobilizzazioni materiali</w:t>
              </w:r>
            </w:hyperlink>
          </w:p>
        </w:tc>
        <w:tc>
          <w:tcPr>
            <w:cnfStyle w:evenVBand="true" w:oddVBand="false" w:firstColumn="false"/>
            <w:tcW w:w="11.434303%" w:type="pct"/>
          </w:tcPr>
          <w:p>
            <w:pPr>
              <w:pStyle w:val="table-level-1"/>
              <w:ind w:leftChars="0" w:left="0" w:right="0"/>
              <w:keepNext/>
            </w:pPr>
            <w:r>
              <w:t>6.752</w:t>
            </w:r>
          </w:p>
        </w:tc>
        <w:tc>
          <w:tcPr>
            <w:cnfStyle w:evenVBand="false" w:oddVBand="true" w:firstColumn="false"/>
            <w:tcW w:w="11.434303%" w:type="pct"/>
          </w:tcPr>
          <w:p>
            <w:pPr>
              <w:pStyle w:val="table-level-1"/>
              <w:ind w:leftChars="0" w:left="0" w:right="0"/>
              <w:keepNext/>
            </w:pPr>
            <w:r>
              <w:t>5.787</w:t>
            </w:r>
          </w:p>
        </w:tc>
        <w:tc>
          <w:tcPr>
            <w:cnfStyle w:evenVBand="true" w:oddVBand="false" w:firstColumn="false"/>
            <w:tcW w:w="11.434303%" w:type="pct"/>
          </w:tcPr>
          <w:p>
            <w:pPr>
              <w:pStyle w:val="table-level-1"/>
              <w:ind w:leftChars="0" w:left="0" w:right="0"/>
              <w:keepNext/>
            </w:pPr>
            <w:r>
              <w:t>4.416</w:t>
            </w:r>
          </w:p>
        </w:tc>
        <w:tc>
          <w:tcPr>
            <w:cnfStyle w:evenVBand="false" w:oddVBand="true" w:firstColumn="false"/>
            <w:tcW w:w="11.434303%" w:type="pct"/>
          </w:tcPr>
          <w:p>
            <w:pPr>
              <w:pStyle w:val="table-level-1"/>
              <w:ind w:leftChars="0" w:left="0" w:right="0"/>
              <w:keepNext/>
            </w:pPr>
            <w:r>
              <w:t>4.216</w:t>
            </w:r>
          </w:p>
        </w:tc>
        <w:tc>
          <w:tcPr>
            <w:cnfStyle w:evenVBand="true" w:oddVBand="false" w:firstColumn="false"/>
            <w:tcW w:w="11.434303%" w:type="pct"/>
          </w:tcPr>
          <w:p>
            <w:pPr>
              <w:pStyle w:val="table-level-1"/>
              <w:ind w:leftChars="0" w:left="0" w:right="0"/>
              <w:keepNext/>
            </w:pPr>
            <w:r>
              <w:t>3.541</w:t>
            </w:r>
          </w:p>
        </w:tc>
        <w:tc>
          <w:tcPr>
            <w:cnfStyle w:evenVBand="false" w:oddVBand="true" w:firstColumn="false"/>
            <w:tcW w:w="11.434303%" w:type="pct"/>
          </w:tcPr>
          <w:p>
            <w:pPr>
              <w:pStyle w:val="table-level-1"/>
              <w:ind w:leftChars="0" w:left="0" w:right="0"/>
              <w:keepNext/>
            </w:pPr>
            <w:r>
              <w:t>2.985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Terreni</w:t>
            </w:r>
          </w:p>
        </w:tc>
        <w:tc>
          <w:tcPr>
            <w:cnfStyle w:evenVBand="true" w:oddVBand="false" w:firstColumn="false"/>
            <w:tcW w:w="11.434303%" w:type="pct"/>
          </w:tcPr>
          <w:p>
            <w:pPr>
              <w:pStyle w:val="table-level-0"/>
              <w:ind w:leftChars="0" w:left="0" w:right="0"/>
              <w:keepNext/>
            </w:pPr>
            <w:r>
              <w:t>1.000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850</w:t>
            </w:r>
          </w:p>
        </w:tc>
        <w:tc>
          <w:tcPr>
            <w:cnfStyle w:evenVBand="false" w:oddVBand="true" w:firstColumn="false"/>
            <w:tcW w:w="11.434303%" w:type="pct"/>
          </w:tcPr>
          <w:p>
            <w:pPr>
              <w:pStyle w:val="table-level-0"/>
              <w:ind w:leftChars="0" w:left="0" w:right="0"/>
              <w:keepNext/>
            </w:pPr>
            <w:r>
              <w:t>850</w:t>
            </w:r>
          </w:p>
        </w:tc>
        <w:tc>
          <w:tcPr>
            <w:cnfStyle w:evenVBand="true" w:oddVBand="false" w:firstColumn="false"/>
            <w:tcW w:w="11.434303%" w:type="pct"/>
          </w:tcPr>
          <w:p>
            <w:pPr>
              <w:pStyle w:val="table-level-0"/>
              <w:ind w:leftChars="0" w:left="0" w:right="0"/>
              <w:keepNext/>
            </w:pPr>
            <w:r>
              <w:t>750</w:t>
            </w:r>
          </w:p>
        </w:tc>
        <w:tc>
          <w:tcPr>
            <w:cnfStyle w:evenVBand="false" w:oddVBand="true" w:firstColumn="false"/>
            <w:tcW w:w="11.434303%" w:type="pct"/>
          </w:tcPr>
          <w:p>
            <w:pPr>
              <w:pStyle w:val="table-level-0"/>
              <w:ind w:leftChars="0" w:left="0" w:right="0"/>
              <w:keepNext/>
            </w:pPr>
            <w:r>
              <w:t>650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Fabbricati</w:t>
            </w:r>
          </w:p>
        </w:tc>
        <w:tc>
          <w:tcPr>
            <w:cnfStyle w:evenVBand="true" w:oddVBand="false" w:firstColumn="false"/>
            <w:tcW w:w="11.434303%" w:type="pct"/>
          </w:tcPr>
          <w:p>
            <w:pPr>
              <w:pStyle w:val="table-level-0"/>
              <w:ind w:leftChars="0" w:left="0" w:right="0"/>
              <w:keepNext/>
            </w:pPr>
            <w:r>
              <w:t>1.960</w:t>
            </w:r>
          </w:p>
        </w:tc>
        <w:tc>
          <w:tcPr>
            <w:cnfStyle w:evenVBand="false" w:oddVBand="true" w:firstColumn="false"/>
            <w:tcW w:w="11.434303%" w:type="pct"/>
          </w:tcPr>
          <w:p>
            <w:pPr>
              <w:pStyle w:val="table-level-0"/>
              <w:ind w:leftChars="0" w:left="0" w:right="0"/>
              <w:keepNext/>
            </w:pPr>
            <w:r>
              <w:t>1.810</w:t>
            </w:r>
          </w:p>
        </w:tc>
        <w:tc>
          <w:tcPr>
            <w:cnfStyle w:evenVBand="true" w:oddVBand="false" w:firstColumn="false"/>
            <w:tcW w:w="11.434303%" w:type="pct"/>
          </w:tcPr>
          <w:p>
            <w:pPr>
              <w:pStyle w:val="table-level-0"/>
              <w:ind w:leftChars="0" w:left="0" w:right="0"/>
              <w:keepNext/>
            </w:pPr>
            <w:r>
              <w:t>1.200</w:t>
            </w:r>
          </w:p>
        </w:tc>
        <w:tc>
          <w:tcPr>
            <w:cnfStyle w:evenVBand="false" w:oddVBand="true" w:firstColumn="false"/>
            <w:tcW w:w="11.434303%" w:type="pct"/>
          </w:tcPr>
          <w:p>
            <w:pPr>
              <w:pStyle w:val="table-level-0"/>
              <w:ind w:leftChars="0" w:left="0" w:right="0"/>
              <w:keepNext/>
            </w:pPr>
            <w:r>
              <w:t>1.100</w:t>
            </w:r>
          </w:p>
        </w:tc>
        <w:tc>
          <w:tcPr>
            <w:cnfStyle w:evenVBand="true" w:oddVBand="false" w:firstColumn="false"/>
            <w:tcW w:w="11.434303%" w:type="pct"/>
          </w:tcPr>
          <w:p>
            <w:pPr>
              <w:pStyle w:val="table-level-0"/>
              <w:ind w:leftChars="0" w:left="0" w:right="0"/>
              <w:keepNext/>
            </w:pPr>
            <w:r>
              <w:t>1.000</w:t>
            </w:r>
          </w:p>
        </w:tc>
        <w:tc>
          <w:tcPr>
            <w:cnfStyle w:evenVBand="false" w:oddVBand="true" w:firstColumn="false"/>
            <w:tcW w:w="11.434303%" w:type="pct"/>
          </w:tcPr>
          <w:p>
            <w:pPr>
              <w:pStyle w:val="table-level-0"/>
              <w:ind w:leftChars="0" w:left="0" w:right="0"/>
              <w:keepNext/>
            </w:pPr>
            <w:r>
              <w:t>900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Impianti</w:t>
            </w:r>
          </w:p>
        </w:tc>
        <w:tc>
          <w:tcPr>
            <w:cnfStyle w:evenVBand="true" w:oddVBand="false" w:firstColumn="false"/>
            <w:tcW w:w="11.434303%" w:type="pct"/>
          </w:tcPr>
          <w:p>
            <w:pPr>
              <w:pStyle w:val="table-level-0"/>
              <w:ind w:leftChars="0" w:left="0" w:right="0"/>
              <w:keepNext/>
            </w:pPr>
            <w:r>
              <w:t>2.350</w:t>
            </w:r>
          </w:p>
        </w:tc>
        <w:tc>
          <w:tcPr>
            <w:cnfStyle w:evenVBand="false" w:oddVBand="true" w:firstColumn="false"/>
            <w:tcW w:w="11.434303%" w:type="pct"/>
          </w:tcPr>
          <w:p>
            <w:pPr>
              <w:pStyle w:val="table-level-0"/>
              <w:ind w:leftChars="0" w:left="0" w:right="0"/>
              <w:keepNext/>
            </w:pPr>
            <w:r>
              <w:t>1.650</w:t>
            </w:r>
          </w:p>
        </w:tc>
        <w:tc>
          <w:tcPr>
            <w:cnfStyle w:evenVBand="true" w:oddVBand="false" w:firstColumn="false"/>
            <w:tcW w:w="11.434303%" w:type="pct"/>
          </w:tcPr>
          <w:p>
            <w:pPr>
              <w:pStyle w:val="table-level-0"/>
              <w:ind w:leftChars="0" w:left="0" w:right="0"/>
              <w:keepNext/>
            </w:pPr>
            <w:r>
              <w:t>1.250</w:t>
            </w:r>
          </w:p>
        </w:tc>
        <w:tc>
          <w:tcPr>
            <w:cnfStyle w:evenVBand="false" w:oddVBand="true" w:firstColumn="false"/>
            <w:tcW w:w="11.434303%" w:type="pct"/>
          </w:tcPr>
          <w:p>
            <w:pPr>
              <w:pStyle w:val="table-level-0"/>
              <w:ind w:leftChars="0" w:left="0" w:right="0"/>
              <w:keepNext/>
            </w:pPr>
            <w:r>
              <w:t>1.250</w:t>
            </w:r>
          </w:p>
        </w:tc>
        <w:tc>
          <w:tcPr>
            <w:cnfStyle w:evenVBand="true" w:oddVBand="false" w:firstColumn="false"/>
            <w:tcW w:w="11.434303%" w:type="pct"/>
          </w:tcPr>
          <w:p>
            <w:pPr>
              <w:pStyle w:val="table-level-0"/>
              <w:ind w:leftChars="0" w:left="0" w:right="0"/>
              <w:keepNext/>
            </w:pPr>
            <w:r>
              <w:t>1.150</w:t>
            </w:r>
          </w:p>
        </w:tc>
        <w:tc>
          <w:tcPr>
            <w:cnfStyle w:evenVBand="false" w:oddVBand="true" w:firstColumn="false"/>
            <w:tcW w:w="11.434303%" w:type="pct"/>
          </w:tcPr>
          <w:p>
            <w:pPr>
              <w:pStyle w:val="table-level-0"/>
              <w:ind w:leftChars="0" w:left="0" w:right="0"/>
              <w:keepNext/>
            </w:pPr>
            <w:r>
              <w:t>1.050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Macchinari</w:t>
            </w:r>
          </w:p>
        </w:tc>
        <w:tc>
          <w:tcPr>
            <w:cnfStyle w:evenVBand="true" w:oddVBand="false" w:firstColumn="false"/>
            <w:tcW w:w="11.434303%" w:type="pct"/>
          </w:tcPr>
          <w:p>
            <w:pPr>
              <w:pStyle w:val="table-level-0"/>
              <w:ind w:leftChars="0" w:left="0" w:right="0"/>
              <w:keepNext/>
            </w:pPr>
            <w:r>
              <w:t>2.000</w:t>
            </w:r>
          </w:p>
        </w:tc>
        <w:tc>
          <w:tcPr>
            <w:cnfStyle w:evenVBand="false" w:oddVBand="true" w:firstColumn="false"/>
            <w:tcW w:w="11.434303%" w:type="pct"/>
          </w:tcPr>
          <w:p>
            <w:pPr>
              <w:pStyle w:val="table-level-0"/>
              <w:ind w:leftChars="0" w:left="0" w:right="0"/>
              <w:keepNext/>
            </w:pPr>
            <w:r>
              <w:t>1.600</w:t>
            </w:r>
          </w:p>
        </w:tc>
        <w:tc>
          <w:tcPr>
            <w:cnfStyle w:evenVBand="true" w:oddVBand="false" w:firstColumn="false"/>
            <w:tcW w:w="11.434303%" w:type="pct"/>
          </w:tcPr>
          <w:p>
            <w:pPr>
              <w:pStyle w:val="table-level-0"/>
              <w:ind w:leftChars="0" w:left="0" w:right="0"/>
              <w:keepNext/>
            </w:pPr>
            <w:r>
              <w:t>1.200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900</w:t>
            </w:r>
          </w:p>
        </w:tc>
        <w:tc>
          <w:tcPr>
            <w:cnfStyle w:evenVBand="false" w:oddVBand="true" w:firstColumn="false"/>
            <w:tcW w:w="11.434303%" w:type="pct"/>
          </w:tcPr>
          <w:p>
            <w:pPr>
              <w:pStyle w:val="table-level-0"/>
              <w:ind w:leftChars="0" w:left="0" w:right="0"/>
              <w:keepNext/>
            </w:pPr>
            <w:r>
              <w:t>800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Attrezzature</w:t>
            </w:r>
          </w:p>
        </w:tc>
        <w:tc>
          <w:tcPr>
            <w:cnfStyle w:evenVBand="true" w:oddVBand="false" w:firstColumn="false"/>
            <w:tcW w:w="11.434303%" w:type="pct"/>
          </w:tcPr>
          <w:p>
            <w:pPr>
              <w:pStyle w:val="table-level-0"/>
              <w:ind w:leftChars="0" w:left="0" w:right="0"/>
              <w:keepNext/>
            </w:pPr>
            <w:r>
              <w:t>650</w:t>
            </w:r>
          </w:p>
        </w:tc>
        <w:tc>
          <w:tcPr>
            <w:cnfStyle w:evenVBand="false" w:oddVBand="true" w:firstColumn="false"/>
            <w:tcW w:w="11.434303%" w:type="pct"/>
          </w:tcPr>
          <w:p>
            <w:pPr>
              <w:pStyle w:val="table-level-0"/>
              <w:ind w:leftChars="0" w:left="0" w:right="0"/>
              <w:keepNext/>
            </w:pPr>
            <w:r>
              <w:t>570</w:t>
            </w:r>
          </w:p>
        </w:tc>
        <w:tc>
          <w:tcPr>
            <w:cnfStyle w:evenVBand="true" w:oddVBand="false" w:firstColumn="false"/>
            <w:tcW w:w="11.434303%" w:type="pct"/>
          </w:tcPr>
          <w:p>
            <w:pPr>
              <w:pStyle w:val="table-level-0"/>
              <w:ind w:leftChars="0" w:left="0" w:right="0"/>
              <w:keepNext/>
            </w:pPr>
            <w:r>
              <w:t>470</w:t>
            </w:r>
          </w:p>
        </w:tc>
        <w:tc>
          <w:tcPr>
            <w:cnfStyle w:evenVBand="false" w:oddVBand="true" w:firstColumn="false"/>
            <w:tcW w:w="11.434303%" w:type="pct"/>
          </w:tcPr>
          <w:p>
            <w:pPr>
              <w:pStyle w:val="table-level-0"/>
              <w:ind w:leftChars="0" w:left="0" w:right="0"/>
              <w:keepNext/>
            </w:pPr>
            <w:r>
              <w:t>330</w:t>
            </w:r>
          </w:p>
        </w:tc>
        <w:tc>
          <w:tcPr>
            <w:cnfStyle w:evenVBand="true" w:oddVBand="false" w:firstColumn="false"/>
            <w:tcW w:w="11.434303%" w:type="pct"/>
          </w:tcPr>
          <w:p>
            <w:pPr>
              <w:pStyle w:val="table-level-0"/>
              <w:ind w:leftChars="0" w:left="0" w:right="0"/>
              <w:keepNext/>
            </w:pPr>
            <w:r>
              <w:t>230</w:t>
            </w:r>
          </w:p>
        </w:tc>
        <w:tc>
          <w:tcPr>
            <w:cnfStyle w:evenVBand="false" w:oddVBand="true" w:firstColumn="false"/>
            <w:tcW w:w="11.434303%" w:type="pct"/>
          </w:tcPr>
          <w:p>
            <w:pPr>
              <w:pStyle w:val="table-level-0"/>
              <w:ind w:leftChars="0" w:left="0" w:right="0"/>
              <w:keepNext/>
            </w:pPr>
            <w:r>
              <w:t>130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Mobili e arredi</w:t>
            </w:r>
          </w:p>
        </w:tc>
        <w:tc>
          <w:tcPr>
            <w:cnfStyle w:evenVBand="true" w:oddVBand="false" w:firstColumn="false"/>
            <w:tcW w:w="11.434303%" w:type="pct"/>
          </w:tcPr>
          <w:p>
            <w:pPr>
              <w:pStyle w:val="table-level-0"/>
              <w:ind w:leftChars="0" w:left="0" w:right="0"/>
              <w:keepNext/>
            </w:pPr>
            <w:r>
              <w:t>320</w:t>
            </w:r>
          </w:p>
        </w:tc>
        <w:tc>
          <w:tcPr>
            <w:cnfStyle w:evenVBand="false" w:oddVBand="true" w:firstColumn="false"/>
            <w:tcW w:w="11.434303%" w:type="pct"/>
          </w:tcPr>
          <w:p>
            <w:pPr>
              <w:pStyle w:val="table-level-0"/>
              <w:ind w:leftChars="0" w:left="0" w:right="0"/>
              <w:keepNext/>
            </w:pPr>
            <w:r>
              <w:t>320</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300</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Macchine d’ufficio</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450</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450</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250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Automezzi</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beni strumentali materiali</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Immobilizzazioni mat. in corso</w:t>
            </w:r>
          </w:p>
        </w:tc>
        <w:tc>
          <w:tcPr>
            <w:cnfStyle w:evenVBand="true" w:oddVBand="false" w:firstColumn="false"/>
            <w:tcW w:w="11.434303%" w:type="pct"/>
          </w:tcPr>
          <w:p>
            <w:pPr>
              <w:pStyle w:val="table-level-0"/>
              <w:ind w:leftChars="0" w:left="0" w:right="0"/>
              <w:keepNext/>
            </w:pPr>
            <w:r>
              <w:t>6,42</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Fondi ammortamento</w:t>
            </w:r>
          </w:p>
        </w:tc>
        <w:tc>
          <w:tcPr>
            <w:cnfStyle w:evenVBand="true" w:oddVBand="false" w:firstColumn="false"/>
            <w:tcW w:w="11.434303%" w:type="pct"/>
          </w:tcPr>
          <w:p>
            <w:pPr>
              <w:pStyle w:val="table-level-100"/>
              <w:ind w:leftChars="0" w:left="0" w:right="0"/>
              <w:keepNext/>
            </w:pPr>
            <w:r>
              <w:t>-2.331</w:t>
            </w:r>
          </w:p>
        </w:tc>
        <w:tc>
          <w:tcPr>
            <w:cnfStyle w:evenVBand="false" w:oddVBand="true" w:firstColumn="false"/>
            <w:tcW w:w="11.434303%" w:type="pct"/>
          </w:tcPr>
          <w:p>
            <w:pPr>
              <w:pStyle w:val="table-level-100"/>
              <w:ind w:leftChars="0" w:left="0" w:right="0"/>
              <w:keepNext/>
            </w:pPr>
            <w:r>
              <w:t>-1.968</w:t>
            </w:r>
          </w:p>
        </w:tc>
        <w:tc>
          <w:tcPr>
            <w:cnfStyle w:evenVBand="true" w:oddVBand="false" w:firstColumn="false"/>
            <w:tcW w:w="11.434303%" w:type="pct"/>
          </w:tcPr>
          <w:p>
            <w:pPr>
              <w:pStyle w:val="table-level-100"/>
              <w:ind w:leftChars="0" w:left="0" w:right="0"/>
              <w:keepNext/>
            </w:pPr>
            <w:r>
              <w:t>-1.657</w:t>
            </w:r>
          </w:p>
        </w:tc>
        <w:tc>
          <w:tcPr>
            <w:cnfStyle w:evenVBand="false" w:oddVBand="true" w:firstColumn="false"/>
            <w:tcW w:w="11.434303%" w:type="pct"/>
          </w:tcPr>
          <w:p>
            <w:pPr>
              <w:pStyle w:val="table-level-100"/>
              <w:ind w:leftChars="0" w:left="0" w:right="0"/>
              <w:keepNext/>
            </w:pPr>
            <w:r>
              <w:t>-1.414</w:t>
            </w:r>
          </w:p>
        </w:tc>
        <w:tc>
          <w:tcPr>
            <w:cnfStyle w:evenVBand="true" w:oddVBand="false" w:firstColumn="false"/>
            <w:tcW w:w="11.434303%" w:type="pct"/>
          </w:tcPr>
          <w:p>
            <w:pPr>
              <w:pStyle w:val="table-level-100"/>
              <w:ind w:leftChars="0" w:left="0" w:right="0"/>
              <w:keepNext/>
            </w:pPr>
            <w:r>
              <w:t>-1.189</w:t>
            </w:r>
          </w:p>
        </w:tc>
        <w:tc>
          <w:tcPr>
            <w:cnfStyle w:evenVBand="false" w:oddVBand="true" w:firstColumn="false"/>
            <w:tcW w:w="11.434303%" w:type="pct"/>
          </w:tcPr>
          <w:p>
            <w:pPr>
              <w:pStyle w:val="table-level-100"/>
              <w:ind w:leftChars="0" w:left="0" w:right="0"/>
              <w:keepNext/>
            </w:pPr>
            <w:r>
              <w:t>-1.000</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-3,5</w:t>
            </w:r>
          </w:p>
        </w:tc>
        <w:tc>
          <w:tcPr>
            <w:cnfStyle w:evenVBand="false" w:oddVBand="true" w:firstColumn="false"/>
            <w:tcW w:w="11.434303%" w:type="pct"/>
          </w:tcPr>
          <w:p>
            <w:pPr>
              <w:pStyle w:val="table-level-100"/>
              <w:ind w:leftChars="0" w:left="0" w:right="0"/>
              <w:keepNext/>
            </w:pPr>
            <w:r>
              <w:t>-1,5</w:t>
            </w:r>
          </w:p>
        </w:tc>
        <w:tc>
          <w:tcPr>
            <w:cnfStyle w:evenVBand="true" w:oddVBand="false" w:firstColumn="false"/>
            <w:tcW w:w="11.434303%" w:type="pct"/>
          </w:tcPr>
          <w:p>
            <w:pPr>
              <w:pStyle w:val="table-level-100"/>
              <w:ind w:leftChars="0" w:left="0" w:right="0"/>
              <w:keepNext/>
            </w:pPr>
            <w:r>
              <w:t>-1,5</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9c6fc2f8c7e819475834f5f947b1a56">
              <w:r>
                <w:rPr>
                  <w:rStyle w:val="Hyperlink"/>
                </w:rPr>
                <w:t>Immobilizzazioni finanziarie</w:t>
              </w:r>
            </w:hyperlink>
          </w:p>
        </w:tc>
        <w:tc>
          <w:tcPr>
            <w:cnfStyle w:evenVBand="true" w:oddVBand="false" w:firstColumn="false"/>
            <w:tcW w:w="11.434303%" w:type="pct"/>
          </w:tcPr>
          <w:p>
            <w:pPr>
              <w:pStyle w:val="table-level-1"/>
              <w:ind w:leftChars="0" w:left="0" w:right="0"/>
              <w:keepNext/>
            </w:pPr>
            <w:r>
              <w:t>51</w:t>
            </w:r>
          </w:p>
        </w:tc>
        <w:tc>
          <w:tcPr>
            <w:cnfStyle w:evenVBand="false" w:oddVBand="true" w:firstColumn="false"/>
            <w:tcW w:w="11.434303%" w:type="pct"/>
          </w:tcPr>
          <w:p>
            <w:pPr>
              <w:pStyle w:val="table-level-1"/>
              <w:ind w:leftChars="0" w:left="0" w:right="0"/>
              <w:keepNext/>
            </w:pPr>
            <w:r>
              <w:t>40</w:t>
            </w:r>
          </w:p>
        </w:tc>
        <w:tc>
          <w:tcPr>
            <w:cnfStyle w:evenVBand="true" w:oddVBand="false" w:firstColumn="false"/>
            <w:tcW w:w="11.434303%" w:type="pct"/>
          </w:tcPr>
          <w:p>
            <w:pPr>
              <w:pStyle w:val="table-level-1"/>
              <w:ind w:leftChars="0" w:left="0" w:right="0"/>
              <w:keepNext/>
            </w:pPr>
            <w:r>
              <w:t>41</w:t>
            </w:r>
          </w:p>
        </w:tc>
        <w:tc>
          <w:tcPr>
            <w:cnfStyle w:evenVBand="false" w:oddVBand="true" w:firstColumn="false"/>
            <w:tcW w:w="11.434303%" w:type="pct"/>
          </w:tcPr>
          <w:p>
            <w:pPr>
              <w:pStyle w:val="table-level-1"/>
              <w:ind w:leftChars="0" w:left="0" w:right="0"/>
              <w:keepNext/>
            </w:pPr>
            <w:r>
              <w:t>43</w:t>
            </w:r>
          </w:p>
        </w:tc>
        <w:tc>
          <w:tcPr>
            <w:cnfStyle w:evenVBand="true" w:oddVBand="false" w:firstColumn="false"/>
            <w:tcW w:w="11.434303%" w:type="pct"/>
          </w:tcPr>
          <w:p>
            <w:pPr>
              <w:pStyle w:val="table-level-1"/>
              <w:ind w:leftChars="0" w:left="0" w:right="0"/>
              <w:keepNext/>
            </w:pPr>
            <w:r>
              <w:t>40,9</w:t>
            </w:r>
          </w:p>
        </w:tc>
        <w:tc>
          <w:tcPr>
            <w:cnfStyle w:evenVBand="false" w:oddVBand="true" w:firstColumn="false"/>
            <w:tcW w:w="11.434303%" w:type="pct"/>
          </w:tcPr>
          <w:p>
            <w:pPr>
              <w:pStyle w:val="table-level-1"/>
              <w:ind w:leftChars="0" w:left="0" w:right="0"/>
              <w:keepNext/>
            </w:pPr>
            <w:r>
              <w:t>38,6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Partecipazioni</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24,5</w:t>
            </w:r>
          </w:p>
        </w:tc>
        <w:tc>
          <w:tcPr>
            <w:cnfStyle w:evenVBand="false" w:oddVBand="true" w:firstColumn="false"/>
            <w:tcW w:w="11.434303%" w:type="pct"/>
          </w:tcPr>
          <w:p>
            <w:pPr>
              <w:pStyle w:val="table-level-0"/>
              <w:ind w:leftChars="0" w:left="0" w:right="0"/>
              <w:keepNext/>
            </w:pPr>
            <w:r>
              <w:t>24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finanziari</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11,5</w:t>
            </w:r>
          </w:p>
        </w:tc>
        <w:tc>
          <w:tcPr>
            <w:cnfStyle w:evenVBand="false" w:oddVBand="true" w:firstColumn="false"/>
            <w:tcW w:w="11.434303%" w:type="pct"/>
          </w:tcPr>
          <w:p>
            <w:pPr>
              <w:pStyle w:val="table-level-0"/>
              <w:ind w:leftChars="0" w:left="0" w:right="0"/>
              <w:keepNext/>
            </w:pPr>
            <w:r>
              <w:t>11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Depositi e altri crediti finanziari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titoli finanziari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Azioni proprie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Strumenti derivati attivi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0,4</w:t>
            </w:r>
          </w:p>
        </w:tc>
        <w:tc>
          <w:tcPr>
            <w:cnfStyle w:evenVBand="false" w:oddVBand="true" w:firstColumn="false"/>
            <w:tcW w:w="11.434303%" w:type="pct"/>
          </w:tcPr>
          <w:p>
            <w:pPr>
              <w:pStyle w:val="table-level-0"/>
              <w:ind w:leftChars="0" w:left="0" w:right="0"/>
              <w:keepNext/>
            </w:pPr>
            <w:r>
              <w:t>0,5</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-1,5</w:t>
            </w:r>
          </w:p>
        </w:tc>
        <w:tc>
          <w:tcPr>
            <w:cnfStyle w:evenVBand="false" w:oddVBand="true" w:firstColumn="false"/>
            <w:tcW w:w="11.434303%" w:type="pct"/>
          </w:tcPr>
          <w:p>
            <w:pPr>
              <w:pStyle w:val="table-level-100"/>
              <w:ind w:leftChars="0" w:left="0" w:right="0"/>
              <w:keepNext/>
            </w:pPr>
            <w:r>
              <w:t>-1,7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fd5ad78356e83131ad5f2c736967845e">
              <w:r>
                <w:rPr>
                  <w:rStyle w:val="Hyperlink"/>
                </w:rPr>
                <w:t>Fondi</w:t>
              </w:r>
            </w:hyperlink>
          </w:p>
        </w:tc>
        <w:tc>
          <w:tcPr>
            <w:cnfStyle w:evenVBand="true" w:oddVBand="false" w:firstColumn="false"/>
            <w:tcW w:w="11.434303%" w:type="pct"/>
          </w:tcPr>
          <w:p>
            <w:pPr>
              <w:pStyle w:val="table-level-1"/>
              <w:ind w:leftChars="0" w:left="0" w:right="0"/>
              <w:keepNext/>
            </w:pPr>
            <w:r>
              <w:t>-440</w:t>
            </w:r>
          </w:p>
        </w:tc>
        <w:tc>
          <w:tcPr>
            <w:cnfStyle w:evenVBand="false" w:oddVBand="true" w:firstColumn="false"/>
            <w:tcW w:w="11.434303%" w:type="pct"/>
          </w:tcPr>
          <w:p>
            <w:pPr>
              <w:pStyle w:val="table-level-1"/>
              <w:ind w:leftChars="0" w:left="0" w:right="0"/>
              <w:keepNext/>
            </w:pPr>
            <w:r>
              <w:t>-322,5</w:t>
            </w:r>
          </w:p>
        </w:tc>
        <w:tc>
          <w:tcPr>
            <w:cnfStyle w:evenVBand="true" w:oddVBand="false" w:firstColumn="false"/>
            <w:tcW w:w="11.434303%" w:type="pct"/>
          </w:tcPr>
          <w:p>
            <w:pPr>
              <w:pStyle w:val="table-level-1"/>
              <w:ind w:leftChars="0" w:left="0" w:right="0"/>
              <w:keepNext/>
            </w:pPr>
            <w:r>
              <w:t>-228</w:t>
            </w:r>
          </w:p>
        </w:tc>
        <w:tc>
          <w:tcPr>
            <w:cnfStyle w:evenVBand="false" w:oddVBand="true" w:firstColumn="false"/>
            <w:tcW w:w="11.434303%" w:type="pct"/>
          </w:tcPr>
          <w:p>
            <w:pPr>
              <w:pStyle w:val="table-level-1"/>
              <w:ind w:leftChars="0" w:left="0" w:right="0"/>
              <w:keepNext/>
            </w:pPr>
            <w:r>
              <w:t>-127,6</w:t>
            </w:r>
          </w:p>
        </w:tc>
        <w:tc>
          <w:tcPr>
            <w:cnfStyle w:evenVBand="true" w:oddVBand="false" w:firstColumn="false"/>
            <w:tcW w:w="11.434303%" w:type="pct"/>
          </w:tcPr>
          <w:p>
            <w:pPr>
              <w:pStyle w:val="table-level-1"/>
              <w:ind w:leftChars="0" w:left="0" w:right="0"/>
              <w:keepNext/>
            </w:pPr>
            <w:r>
              <w:t>-103</w:t>
            </w:r>
          </w:p>
        </w:tc>
        <w:tc>
          <w:tcPr>
            <w:cnfStyle w:evenVBand="false" w:oddVBand="true" w:firstColumn="false"/>
            <w:tcW w:w="11.434303%" w:type="pct"/>
          </w:tcPr>
          <w:p>
            <w:pPr>
              <w:pStyle w:val="table-level-1"/>
              <w:ind w:leftChars="0" w:left="0" w:right="0"/>
              <w:keepNext/>
            </w:pPr>
            <w:r>
              <w:t>-110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Fondo tratt. quiescenza</w:t>
            </w:r>
          </w:p>
        </w:tc>
        <w:tc>
          <w:tcPr>
            <w:cnfStyle w:evenVBand="true" w:oddVBand="false" w:firstColumn="false"/>
            <w:tcW w:w="11.434303%" w:type="pct"/>
          </w:tcPr>
          <w:p>
            <w:pPr>
              <w:pStyle w:val="table-level-0"/>
              <w:ind w:leftChars="0" w:left="0" w:right="0"/>
              <w:keepNext/>
            </w:pPr>
            <w:r>
              <w:t>-415</w:t>
            </w:r>
          </w:p>
        </w:tc>
        <w:tc>
          <w:tcPr>
            <w:cnfStyle w:evenVBand="false" w:oddVBand="true" w:firstColumn="false"/>
            <w:tcW w:w="11.434303%" w:type="pct"/>
          </w:tcPr>
          <w:p>
            <w:pPr>
              <w:pStyle w:val="table-level-0"/>
              <w:ind w:leftChars="0" w:left="0" w:right="0"/>
              <w:keepNext/>
            </w:pPr>
            <w:r>
              <w:t>-305</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Fondi per imposte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Strumenti derivati passivi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fondi per rischi e oneri</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r>
      <w:tr>
        <w:trPr>
          <w:cnfStyle w:evenHBand="true" w:oddHBand="false" w:firstRow="false"/>
          <w:cantSplit/>
        </w:trPr>
        <w:tc>
          <w:tcPr>
            <w:cnfStyle w:evenVBand="false" w:oddVBand="true" w:firstColumn="false"/>
            <w:tcW w:w="31.394183%" w:type="pct"/>
          </w:tcPr>
          <w:p>
            <w:pPr>
              <w:pStyle w:val="index-table-level-2"/>
              <w:ind w:leftChars="0" w:left="0" w:right="0"/>
              <w:keepNext/>
            </w:pPr>
            <w:hyperlink w:anchor="_c281ee36b8fd5cc7495ba1bc9c8cc356">
              <w:r>
                <w:rPr>
                  <w:rStyle w:val="Hyperlink"/>
                </w:rPr>
                <w:t>Capitale circolante netto</w:t>
              </w:r>
            </w:hyperlink>
          </w:p>
        </w:tc>
        <w:tc>
          <w:tcPr>
            <w:cnfStyle w:evenVBand="true" w:oddVBand="false" w:firstColumn="false"/>
            <w:tcW w:w="11.434303%" w:type="pct"/>
          </w:tcPr>
          <w:p>
            <w:pPr>
              <w:pStyle w:val="table-level-2"/>
              <w:ind w:leftChars="0" w:left="0" w:right="0"/>
              <w:keepNext/>
            </w:pPr>
            <w:r>
              <w:t>404,4</w:t>
            </w:r>
          </w:p>
        </w:tc>
        <w:tc>
          <w:tcPr>
            <w:cnfStyle w:evenVBand="false" w:oddVBand="true" w:firstColumn="false"/>
            <w:tcW w:w="11.434303%" w:type="pct"/>
          </w:tcPr>
          <w:p>
            <w:pPr>
              <w:pStyle w:val="table-level-2"/>
              <w:ind w:leftChars="0" w:left="0" w:right="0"/>
              <w:keepNext/>
            </w:pPr>
            <w:r>
              <w:t>431,9</w:t>
            </w:r>
          </w:p>
        </w:tc>
        <w:tc>
          <w:tcPr>
            <w:cnfStyle w:evenVBand="true" w:oddVBand="false" w:firstColumn="false"/>
            <w:tcW w:w="11.434303%" w:type="pct"/>
          </w:tcPr>
          <w:p>
            <w:pPr>
              <w:pStyle w:val="table-level-2"/>
              <w:ind w:leftChars="0" w:left="0" w:right="0"/>
              <w:keepNext/>
            </w:pPr>
            <w:r>
              <w:t>439,2</w:t>
            </w:r>
          </w:p>
        </w:tc>
        <w:tc>
          <w:tcPr>
            <w:cnfStyle w:evenVBand="false" w:oddVBand="true" w:firstColumn="false"/>
            <w:tcW w:w="11.434303%" w:type="pct"/>
          </w:tcPr>
          <w:p>
            <w:pPr>
              <w:pStyle w:val="table-level-2"/>
              <w:ind w:leftChars="0" w:left="0" w:right="0"/>
              <w:keepNext/>
            </w:pPr>
            <w:r>
              <w:t>269,8</w:t>
            </w:r>
          </w:p>
        </w:tc>
        <w:tc>
          <w:tcPr>
            <w:cnfStyle w:evenVBand="true" w:oddVBand="false" w:firstColumn="false"/>
            <w:tcW w:w="11.434303%" w:type="pct"/>
          </w:tcPr>
          <w:p>
            <w:pPr>
              <w:pStyle w:val="table-level-2"/>
              <w:ind w:leftChars="0" w:left="0" w:right="0"/>
              <w:keepNext/>
            </w:pPr>
            <w:r>
              <w:t>277,6</w:t>
            </w:r>
          </w:p>
        </w:tc>
        <w:tc>
          <w:tcPr>
            <w:cnfStyle w:evenVBand="false" w:oddVBand="true" w:firstColumn="false"/>
            <w:tcW w:w="11.434303%" w:type="pct"/>
          </w:tcPr>
          <w:p>
            <w:pPr>
              <w:pStyle w:val="table-level-2"/>
              <w:ind w:leftChars="0" w:left="0" w:right="0"/>
              <w:keepNext/>
            </w:pPr>
            <w:r>
              <w:t>550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576c980ee5bb496b2a04f7cdbfa80a3">
              <w:r>
                <w:rPr>
                  <w:rStyle w:val="Hyperlink"/>
                </w:rPr>
                <w:t>Capitale circolante commerciale</w:t>
              </w:r>
            </w:hyperlink>
          </w:p>
        </w:tc>
        <w:tc>
          <w:tcPr>
            <w:cnfStyle w:evenVBand="true" w:oddVBand="false" w:firstColumn="false"/>
            <w:tcW w:w="11.434303%" w:type="pct"/>
          </w:tcPr>
          <w:p>
            <w:pPr>
              <w:pStyle w:val="table-level-1"/>
              <w:ind w:leftChars="0" w:left="0" w:right="0"/>
              <w:keepNext/>
            </w:pPr>
            <w:r>
              <w:t>618,4</w:t>
            </w:r>
          </w:p>
        </w:tc>
        <w:tc>
          <w:tcPr>
            <w:cnfStyle w:evenVBand="false" w:oddVBand="true" w:firstColumn="false"/>
            <w:tcW w:w="11.434303%" w:type="pct"/>
          </w:tcPr>
          <w:p>
            <w:pPr>
              <w:pStyle w:val="table-level-1"/>
              <w:ind w:leftChars="0" w:left="0" w:right="0"/>
              <w:keepNext/>
            </w:pPr>
            <w:r>
              <w:t>627,8</w:t>
            </w:r>
          </w:p>
        </w:tc>
        <w:tc>
          <w:tcPr>
            <w:cnfStyle w:evenVBand="true" w:oddVBand="false" w:firstColumn="false"/>
            <w:tcW w:w="11.434303%" w:type="pct"/>
          </w:tcPr>
          <w:p>
            <w:pPr>
              <w:pStyle w:val="table-level-1"/>
              <w:ind w:leftChars="0" w:left="0" w:right="0"/>
              <w:keepNext/>
            </w:pPr>
            <w:r>
              <w:t>570,6</w:t>
            </w:r>
          </w:p>
        </w:tc>
        <w:tc>
          <w:tcPr>
            <w:cnfStyle w:evenVBand="false" w:oddVBand="true" w:firstColumn="false"/>
            <w:tcW w:w="11.434303%" w:type="pct"/>
          </w:tcPr>
          <w:p>
            <w:pPr>
              <w:pStyle w:val="table-level-1"/>
              <w:ind w:leftChars="0" w:left="0" w:right="0"/>
              <w:keepNext/>
            </w:pPr>
            <w:r>
              <w:t>366,8</w:t>
            </w:r>
          </w:p>
        </w:tc>
        <w:tc>
          <w:tcPr>
            <w:cnfStyle w:evenVBand="true" w:oddVBand="false" w:firstColumn="false"/>
            <w:tcW w:w="11.434303%" w:type="pct"/>
          </w:tcPr>
          <w:p>
            <w:pPr>
              <w:pStyle w:val="table-level-1"/>
              <w:ind w:leftChars="0" w:left="0" w:right="0"/>
              <w:keepNext/>
            </w:pPr>
            <w:r>
              <w:t>394,8</w:t>
            </w:r>
          </w:p>
        </w:tc>
        <w:tc>
          <w:tcPr>
            <w:cnfStyle w:evenVBand="false" w:oddVBand="true" w:firstColumn="false"/>
            <w:tcW w:w="11.434303%" w:type="pct"/>
          </w:tcPr>
          <w:p>
            <w:pPr>
              <w:pStyle w:val="table-level-1"/>
              <w:ind w:leftChars="0" w:left="0" w:right="0"/>
              <w:keepNext/>
            </w:pPr>
            <w:r>
              <w:t>656,8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b492563a144924a6b8f7092b1a8a2c92">
              <w:r>
                <w:rPr>
                  <w:rStyle w:val="Hyperlink"/>
                </w:rPr>
                <w:t>Rimanenze</w:t>
              </w:r>
            </w:hyperlink>
          </w:p>
        </w:tc>
        <w:tc>
          <w:tcPr>
            <w:cnfStyle w:evenVBand="true" w:oddVBand="false" w:firstColumn="false"/>
            <w:tcW w:w="11.434303%" w:type="pct"/>
          </w:tcPr>
          <w:p>
            <w:pPr>
              <w:pStyle w:val="table-level-0"/>
              <w:ind w:leftChars="0" w:left="0" w:right="0"/>
              <w:keepNext/>
            </w:pPr>
            <w:r>
              <w:t>227,7</w:t>
            </w:r>
          </w:p>
        </w:tc>
        <w:tc>
          <w:tcPr>
            <w:cnfStyle w:evenVBand="false" w:oddVBand="true" w:firstColumn="false"/>
            <w:tcW w:w="11.434303%" w:type="pct"/>
          </w:tcPr>
          <w:p>
            <w:pPr>
              <w:pStyle w:val="table-level-0"/>
              <w:ind w:leftChars="0" w:left="0" w:right="0"/>
              <w:keepNext/>
            </w:pPr>
            <w:r>
              <w:t>190,2</w:t>
            </w:r>
          </w:p>
        </w:tc>
        <w:tc>
          <w:tcPr>
            <w:cnfStyle w:evenVBand="true" w:oddVBand="false" w:firstColumn="false"/>
            <w:tcW w:w="11.434303%" w:type="pct"/>
          </w:tcPr>
          <w:p>
            <w:pPr>
              <w:pStyle w:val="table-level-0"/>
              <w:ind w:leftChars="0" w:left="0" w:right="0"/>
              <w:keepNext/>
            </w:pPr>
            <w:r>
              <w:t>153,3</w:t>
            </w:r>
          </w:p>
        </w:tc>
        <w:tc>
          <w:tcPr>
            <w:cnfStyle w:evenVBand="false" w:oddVBand="true" w:firstColumn="false"/>
            <w:tcW w:w="11.434303%" w:type="pct"/>
          </w:tcPr>
          <w:p>
            <w:pPr>
              <w:pStyle w:val="table-level-0"/>
              <w:ind w:leftChars="0" w:left="0" w:right="0"/>
              <w:keepNext/>
            </w:pPr>
            <w:r>
              <w:t>121,8</w:t>
            </w:r>
          </w:p>
        </w:tc>
        <w:tc>
          <w:tcPr>
            <w:cnfStyle w:evenVBand="true" w:oddVBand="false" w:firstColumn="false"/>
            <w:tcW w:w="11.434303%" w:type="pct"/>
          </w:tcPr>
          <w:p>
            <w:pPr>
              <w:pStyle w:val="table-level-0"/>
              <w:ind w:leftChars="0" w:left="0" w:right="0"/>
              <w:keepNext/>
            </w:pPr>
            <w:r>
              <w:t>113,8</w:t>
            </w:r>
          </w:p>
        </w:tc>
        <w:tc>
          <w:tcPr>
            <w:cnfStyle w:evenVBand="false" w:oddVBand="true" w:firstColumn="false"/>
            <w:tcW w:w="11.434303%" w:type="pct"/>
          </w:tcPr>
          <w:p>
            <w:pPr>
              <w:pStyle w:val="table-level-0"/>
              <w:ind w:leftChars="0" w:left="0" w:right="0"/>
              <w:keepNext/>
            </w:pPr>
            <w:r>
              <w:t>106,8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d8e5fe1a56cc3ed59aace967157e90c7">
              <w:r>
                <w:rPr>
                  <w:rStyle w:val="Hyperlink"/>
                </w:rPr>
                <w:t>Crediti commerciali</w:t>
              </w:r>
            </w:hyperlink>
          </w:p>
        </w:tc>
        <w:tc>
          <w:tcPr>
            <w:cnfStyle w:evenVBand="true" w:oddVBand="false" w:firstColumn="false"/>
            <w:tcW w:w="11.434303%" w:type="pct"/>
          </w:tcPr>
          <w:p>
            <w:pPr>
              <w:pStyle w:val="table-level-0"/>
              <w:ind w:leftChars="0" w:left="0" w:right="0"/>
              <w:keepNext/>
            </w:pPr>
            <w:r>
              <w:t>1.004</w:t>
            </w:r>
          </w:p>
        </w:tc>
        <w:tc>
          <w:tcPr>
            <w:cnfStyle w:evenVBand="false" w:oddVBand="true" w:firstColumn="false"/>
            <w:tcW w:w="11.434303%" w:type="pct"/>
          </w:tcPr>
          <w:p>
            <w:pPr>
              <w:pStyle w:val="table-level-0"/>
              <w:ind w:leftChars="0" w:left="0" w:right="0"/>
              <w:keepNext/>
            </w:pPr>
            <w:r>
              <w:t>945,4</w:t>
            </w:r>
          </w:p>
        </w:tc>
        <w:tc>
          <w:tcPr>
            <w:cnfStyle w:evenVBand="true" w:oddVBand="false" w:firstColumn="false"/>
            <w:tcW w:w="11.434303%" w:type="pct"/>
          </w:tcPr>
          <w:p>
            <w:pPr>
              <w:pStyle w:val="table-level-0"/>
              <w:ind w:leftChars="0" w:left="0" w:right="0"/>
              <w:keepNext/>
            </w:pPr>
            <w:r>
              <w:t>825,2</w:t>
            </w:r>
          </w:p>
        </w:tc>
        <w:tc>
          <w:tcPr>
            <w:cnfStyle w:evenVBand="false" w:oddVBand="true" w:firstColumn="false"/>
            <w:tcW w:w="11.434303%" w:type="pct"/>
          </w:tcPr>
          <w:p>
            <w:pPr>
              <w:pStyle w:val="table-level-0"/>
              <w:ind w:leftChars="0" w:left="0" w:right="0"/>
              <w:keepNext/>
            </w:pPr>
            <w:r>
              <w:t>747</w:t>
            </w:r>
          </w:p>
        </w:tc>
        <w:tc>
          <w:tcPr>
            <w:cnfStyle w:evenVBand="true" w:oddVBand="false" w:firstColumn="false"/>
            <w:tcW w:w="11.434303%" w:type="pct"/>
          </w:tcPr>
          <w:p>
            <w:pPr>
              <w:pStyle w:val="table-level-0"/>
              <w:ind w:leftChars="0" w:left="0" w:right="0"/>
              <w:keepNext/>
            </w:pPr>
            <w:r>
              <w:t>731</w:t>
            </w:r>
          </w:p>
        </w:tc>
        <w:tc>
          <w:tcPr>
            <w:cnfStyle w:evenVBand="false" w:oddVBand="true" w:firstColumn="false"/>
            <w:tcW w:w="11.434303%" w:type="pct"/>
          </w:tcPr>
          <w:p>
            <w:pPr>
              <w:pStyle w:val="table-level-0"/>
              <w:ind w:leftChars="0" w:left="0" w:right="0"/>
              <w:keepNext/>
            </w:pPr>
            <w:r>
              <w:t>715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9aaa98447261e04b796e18b5c68f0b32">
              <w:r>
                <w:rPr>
                  <w:rStyle w:val="Hyperlink"/>
                </w:rPr>
                <w:t>Debiti commerciali</w:t>
              </w:r>
            </w:hyperlink>
          </w:p>
        </w:tc>
        <w:tc>
          <w:tcPr>
            <w:cnfStyle w:evenVBand="true" w:oddVBand="false" w:firstColumn="false"/>
            <w:tcW w:w="11.434303%" w:type="pct"/>
          </w:tcPr>
          <w:p>
            <w:pPr>
              <w:pStyle w:val="table-level-0"/>
              <w:ind w:leftChars="0" w:left="0" w:right="0"/>
              <w:keepNext/>
            </w:pPr>
            <w:r>
              <w:t>-612,8</w:t>
            </w:r>
          </w:p>
        </w:tc>
        <w:tc>
          <w:tcPr>
            <w:cnfStyle w:evenVBand="false" w:oddVBand="true" w:firstColumn="false"/>
            <w:tcW w:w="11.434303%" w:type="pct"/>
          </w:tcPr>
          <w:p>
            <w:pPr>
              <w:pStyle w:val="table-level-0"/>
              <w:ind w:leftChars="0" w:left="0" w:right="0"/>
              <w:keepNext/>
            </w:pPr>
            <w:r>
              <w:t>-507,8</w:t>
            </w:r>
          </w:p>
        </w:tc>
        <w:tc>
          <w:tcPr>
            <w:cnfStyle w:evenVBand="true" w:oddVBand="false" w:firstColumn="false"/>
            <w:tcW w:w="11.434303%" w:type="pct"/>
          </w:tcPr>
          <w:p>
            <w:pPr>
              <w:pStyle w:val="table-level-0"/>
              <w:ind w:leftChars="0" w:left="0" w:right="0"/>
              <w:keepNext/>
            </w:pPr>
            <w:r>
              <w:t>-408</w:t>
            </w:r>
          </w:p>
        </w:tc>
        <w:tc>
          <w:tcPr>
            <w:cnfStyle w:evenVBand="false" w:oddVBand="true" w:firstColumn="false"/>
            <w:tcW w:w="11.434303%" w:type="pct"/>
          </w:tcPr>
          <w:p>
            <w:pPr>
              <w:pStyle w:val="table-level-0"/>
              <w:ind w:leftChars="0" w:left="0" w:right="0"/>
              <w:keepNext/>
            </w:pPr>
            <w:r>
              <w:t>-502</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-165</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4497fa2566b5a730f0e896f0313f87f">
              <w:r>
                <w:rPr>
                  <w:rStyle w:val="Hyperlink"/>
                </w:rPr>
                <w:t>Crediti/debiti infragruppo</w:t>
              </w:r>
            </w:hyperlink>
          </w:p>
        </w:tc>
        <w:tc>
          <w:tcPr>
            <w:cnfStyle w:evenVBand="true" w:oddVBand="false" w:firstColumn="false"/>
            <w:tcW w:w="11.434303%" w:type="pct"/>
          </w:tcPr>
          <w:p>
            <w:pPr>
              <w:pStyle w:val="table-level-1"/>
              <w:ind w:leftChars="0" w:left="0" w:right="0"/>
              <w:keepNext/>
            </w:pPr>
            <w:r>
              <w:t>-9,2</w:t>
            </w:r>
          </w:p>
        </w:tc>
        <w:tc>
          <w:tcPr>
            <w:cnfStyle w:evenVBand="false" w:oddVBand="true" w:firstColumn="false"/>
            <w:tcW w:w="11.434303%" w:type="pct"/>
          </w:tcPr>
          <w:p>
            <w:pPr>
              <w:pStyle w:val="table-level-1"/>
              <w:ind w:leftChars="0" w:left="0" w:right="0"/>
              <w:keepNext/>
            </w:pPr>
            <w:r>
              <w:t>-5,7</w:t>
            </w:r>
          </w:p>
        </w:tc>
        <w:tc>
          <w:tcPr>
            <w:cnfStyle w:evenVBand="true" w:oddVBand="false" w:firstColumn="false"/>
            <w:tcW w:w="11.434303%" w:type="pct"/>
          </w:tcPr>
          <w:p>
            <w:pPr>
              <w:pStyle w:val="table-level-1"/>
              <w:ind w:leftChars="0" w:left="0" w:right="0"/>
              <w:keepNext/>
            </w:pPr>
            <w:r>
              <w:t>0,5</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5,5</w:t>
            </w:r>
          </w:p>
        </w:tc>
        <w:tc>
          <w:tcPr>
            <w:cnfStyle w:evenVBand="false" w:oddVBand="true" w:firstColumn="false"/>
            <w:tcW w:w="11.434303%" w:type="pct"/>
          </w:tcPr>
          <w:p>
            <w:pPr>
              <w:pStyle w:val="table-level-1"/>
              <w:ind w:leftChars="0" w:left="0" w:right="0"/>
              <w:keepNext/>
            </w:pPr>
            <w:r>
              <w:t>11,1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943c99268447e7193a844335d289a55">
              <w:r>
                <w:rPr>
                  <w:rStyle w:val="Hyperlink"/>
                </w:rPr>
                <w:t>Crediti v/imprese infragruppo</w:t>
              </w:r>
            </w:hyperlink>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9,3</w:t>
            </w:r>
          </w:p>
        </w:tc>
        <w:tc>
          <w:tcPr>
            <w:cnfStyle w:evenVBand="false" w:oddVBand="true" w:firstColumn="false"/>
            <w:tcW w:w="11.434303%" w:type="pct"/>
          </w:tcPr>
          <w:p>
            <w:pPr>
              <w:pStyle w:val="table-level-0"/>
              <w:ind w:leftChars="0" w:left="0" w:right="0"/>
              <w:keepNext/>
            </w:pPr>
            <w:r>
              <w:t>15,7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f72d4b4354ed67fb1b21e0cef41beee">
              <w:r>
                <w:rPr>
                  <w:rStyle w:val="Hyperlink"/>
                </w:rPr>
                <w:t>Debiti v/imprese infragruppo</w:t>
              </w:r>
            </w:hyperlink>
          </w:p>
        </w:tc>
        <w:tc>
          <w:tcPr>
            <w:cnfStyle w:evenVBand="true" w:oddVBand="false" w:firstColumn="false"/>
            <w:tcW w:w="11.434303%" w:type="pct"/>
          </w:tcPr>
          <w:p>
            <w:pPr>
              <w:pStyle w:val="table-level-0"/>
              <w:ind w:leftChars="0" w:left="0" w:right="0"/>
              <w:keepNext/>
            </w:pPr>
            <w:r>
              <w:t>-9,2</w:t>
            </w:r>
          </w:p>
        </w:tc>
        <w:tc>
          <w:tcPr>
            <w:cnfStyle w:evenVBand="false" w:oddVBand="true" w:firstColumn="false"/>
            <w:tcW w:w="11.434303%" w:type="pct"/>
          </w:tcPr>
          <w:p>
            <w:pPr>
              <w:pStyle w:val="table-level-0"/>
              <w:ind w:leftChars="0" w:left="0" w:right="0"/>
              <w:keepNext/>
            </w:pPr>
            <w:r>
              <w:t>-8,5</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-4,6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ed34e9d3f60f819748e342a0474f0b6e">
              <w:r>
                <w:rPr>
                  <w:rStyle w:val="Hyperlink"/>
                </w:rPr>
                <w:t>Crediti/debiti tributari</w:t>
              </w:r>
            </w:hyperlink>
          </w:p>
        </w:tc>
        <w:tc>
          <w:tcPr>
            <w:cnfStyle w:evenVBand="true" w:oddVBand="false" w:firstColumn="false"/>
            <w:tcW w:w="11.434303%" w:type="pct"/>
          </w:tcPr>
          <w:p>
            <w:pPr>
              <w:pStyle w:val="table-level-1"/>
              <w:ind w:leftChars="0" w:left="0" w:right="0"/>
              <w:keepNext/>
            </w:pPr>
            <w:r>
              <w:t>-66,3</w:t>
            </w:r>
          </w:p>
        </w:tc>
        <w:tc>
          <w:tcPr>
            <w:cnfStyle w:evenVBand="false" w:oddVBand="true" w:firstColumn="false"/>
            <w:tcW w:w="11.434303%" w:type="pct"/>
          </w:tcPr>
          <w:p>
            <w:pPr>
              <w:pStyle w:val="table-level-1"/>
              <w:ind w:leftChars="0" w:left="0" w:right="0"/>
              <w:keepNext/>
            </w:pPr>
            <w:r>
              <w:t>-65,5</w:t>
            </w:r>
          </w:p>
        </w:tc>
        <w:tc>
          <w:tcPr>
            <w:cnfStyle w:evenVBand="true" w:oddVBand="false" w:firstColumn="false"/>
            <w:tcW w:w="11.434303%" w:type="pct"/>
          </w:tcPr>
          <w:p>
            <w:pPr>
              <w:pStyle w:val="table-level-1"/>
              <w:ind w:leftChars="0" w:left="0" w:right="0"/>
              <w:keepNext/>
            </w:pPr>
            <w:r>
              <w:t>-45,2</w:t>
            </w:r>
          </w:p>
        </w:tc>
        <w:tc>
          <w:tcPr>
            <w:cnfStyle w:evenVBand="false" w:oddVBand="true" w:firstColumn="false"/>
            <w:tcW w:w="11.434303%" w:type="pct"/>
          </w:tcPr>
          <w:p>
            <w:pPr>
              <w:pStyle w:val="table-level-1"/>
              <w:ind w:leftChars="0" w:left="0" w:right="0"/>
              <w:keepNext/>
            </w:pPr>
            <w:r>
              <w:t>-22,9</w:t>
            </w:r>
          </w:p>
        </w:tc>
        <w:tc>
          <w:tcPr>
            <w:cnfStyle w:evenVBand="true" w:oddVBand="false" w:firstColumn="false"/>
            <w:tcW w:w="11.434303%" w:type="pct"/>
          </w:tcPr>
          <w:p>
            <w:pPr>
              <w:pStyle w:val="table-level-1"/>
              <w:ind w:leftChars="0" w:left="0" w:right="0"/>
              <w:keepNext/>
            </w:pPr>
            <w:r>
              <w:t>-22,6</w:t>
            </w:r>
          </w:p>
        </w:tc>
        <w:tc>
          <w:tcPr>
            <w:cnfStyle w:evenVBand="false" w:oddVBand="true" w:firstColumn="false"/>
            <w:tcW w:w="11.434303%" w:type="pct"/>
          </w:tcPr>
          <w:p>
            <w:pPr>
              <w:pStyle w:val="table-level-1"/>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b61fe1a99c37a37b8db60783a548fb26">
              <w:r>
                <w:rPr>
                  <w:rStyle w:val="Hyperlink"/>
                </w:rPr>
                <w:t>Crediti/debiti tributari IRES</w:t>
              </w:r>
            </w:hyperlink>
          </w:p>
        </w:tc>
        <w:tc>
          <w:tcPr>
            <w:cnfStyle w:evenVBand="true" w:oddVBand="false" w:firstColumn="false"/>
            <w:tcW w:w="11.434303%" w:type="pct"/>
          </w:tcPr>
          <w:p>
            <w:pPr>
              <w:pStyle w:val="table-level-0"/>
              <w:ind w:leftChars="0" w:left="0" w:right="0"/>
              <w:keepNext/>
            </w:pPr>
            <w:r>
              <w:t>-51,9</w:t>
            </w:r>
          </w:p>
        </w:tc>
        <w:tc>
          <w:tcPr>
            <w:cnfStyle w:evenVBand="false" w:oddVBand="true" w:firstColumn="false"/>
            <w:tcW w:w="11.434303%" w:type="pct"/>
          </w:tcPr>
          <w:p>
            <w:pPr>
              <w:pStyle w:val="table-level-0"/>
              <w:ind w:leftChars="0" w:left="0" w:right="0"/>
              <w:keepNext/>
            </w:pPr>
            <w:r>
              <w:t>-44,7</w:t>
            </w:r>
          </w:p>
        </w:tc>
        <w:tc>
          <w:tcPr>
            <w:cnfStyle w:evenVBand="true" w:oddVBand="false" w:firstColumn="false"/>
            <w:tcW w:w="11.434303%" w:type="pct"/>
          </w:tcPr>
          <w:p>
            <w:pPr>
              <w:pStyle w:val="table-level-0"/>
              <w:ind w:leftChars="0" w:left="0" w:right="0"/>
              <w:keepNext/>
            </w:pPr>
            <w:r>
              <w:t>-45,7</w:t>
            </w:r>
          </w:p>
        </w:tc>
        <w:tc>
          <w:tcPr>
            <w:cnfStyle w:evenVBand="false" w:oddVBand="true" w:firstColumn="false"/>
            <w:tcW w:w="11.434303%" w:type="pct"/>
          </w:tcPr>
          <w:p>
            <w:pPr>
              <w:pStyle w:val="table-level-0"/>
              <w:ind w:leftChars="0" w:left="0" w:right="0"/>
              <w:keepNext/>
            </w:pPr>
            <w:r>
              <w:t>-46,1</w:t>
            </w:r>
          </w:p>
        </w:tc>
        <w:tc>
          <w:tcPr>
            <w:cnfStyle w:evenVBand="true" w:oddVBand="false" w:firstColumn="false"/>
            <w:tcW w:w="11.434303%" w:type="pct"/>
          </w:tcPr>
          <w:p>
            <w:pPr>
              <w:pStyle w:val="table-level-0"/>
              <w:ind w:leftChars="0" w:left="0" w:right="0"/>
              <w:keepNext/>
            </w:pPr>
            <w:r>
              <w:t>-44,5</w:t>
            </w:r>
          </w:p>
        </w:tc>
        <w:tc>
          <w:tcPr>
            <w:cnfStyle w:evenVBand="false" w:oddVBand="true" w:firstColumn="false"/>
            <w:tcW w:w="11.434303%" w:type="pct"/>
          </w:tcPr>
          <w:p>
            <w:pPr>
              <w:pStyle w:val="table-level-0"/>
              <w:ind w:leftChars="0" w:left="0" w:right="0"/>
              <w:keepNext/>
            </w:pPr>
            <w:r>
              <w:t>-40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dc1679a8790a90ea343b1bcdeaf05d6a">
              <w:r>
                <w:rPr>
                  <w:rStyle w:val="Hyperlink"/>
                </w:rPr>
                <w:t>Crediti/debiti tributari IRAP</w:t>
              </w:r>
            </w:hyperlink>
          </w:p>
        </w:tc>
        <w:tc>
          <w:tcPr>
            <w:cnfStyle w:evenVBand="true" w:oddVBand="false" w:firstColumn="false"/>
            <w:tcW w:w="11.434303%" w:type="pct"/>
          </w:tcPr>
          <w:p>
            <w:pPr>
              <w:pStyle w:val="table-level-0"/>
              <w:ind w:leftChars="0" w:left="0" w:right="0"/>
              <w:keepNext/>
            </w:pPr>
            <w:r>
              <w:t>-27</w:t>
            </w:r>
          </w:p>
        </w:tc>
        <w:tc>
          <w:tcPr>
            <w:cnfStyle w:evenVBand="false" w:oddVBand="true" w:firstColumn="false"/>
            <w:tcW w:w="11.434303%" w:type="pct"/>
          </w:tcPr>
          <w:p>
            <w:pPr>
              <w:pStyle w:val="table-level-0"/>
              <w:ind w:leftChars="0" w:left="0" w:right="0"/>
              <w:keepNext/>
            </w:pPr>
            <w:r>
              <w:t>-21,2</w:t>
            </w:r>
          </w:p>
        </w:tc>
        <w:tc>
          <w:tcPr>
            <w:cnfStyle w:evenVBand="true" w:oddVBand="false" w:firstColumn="false"/>
            <w:tcW w:w="11.434303%" w:type="pct"/>
          </w:tcPr>
          <w:p>
            <w:pPr>
              <w:pStyle w:val="table-level-0"/>
              <w:ind w:leftChars="0" w:left="0" w:right="0"/>
              <w:keepNext/>
            </w:pPr>
            <w:r>
              <w:t>-11,8</w:t>
            </w:r>
          </w:p>
        </w:tc>
        <w:tc>
          <w:tcPr>
            <w:cnfStyle w:evenVBand="false" w:oddVBand="true" w:firstColumn="false"/>
            <w:tcW w:w="11.434303%" w:type="pct"/>
          </w:tcPr>
          <w:p>
            <w:pPr>
              <w:pStyle w:val="table-level-0"/>
              <w:ind w:leftChars="0" w:left="0" w:right="0"/>
              <w:keepNext/>
            </w:pPr>
            <w:r>
              <w:t>-5,2</w:t>
            </w:r>
          </w:p>
        </w:tc>
        <w:tc>
          <w:tcPr>
            <w:cnfStyle w:evenVBand="true" w:oddVBand="false" w:firstColumn="false"/>
            <w:tcW w:w="11.434303%" w:type="pct"/>
          </w:tcPr>
          <w:p>
            <w:pPr>
              <w:pStyle w:val="table-level-0"/>
              <w:ind w:leftChars="0" w:left="0" w:right="0"/>
              <w:keepNext/>
            </w:pPr>
            <w:r>
              <w:t>-3,6</w:t>
            </w:r>
          </w:p>
        </w:tc>
        <w:tc>
          <w:tcPr>
            <w:cnfStyle w:evenVBand="false" w:oddVBand="true" w:firstColumn="false"/>
            <w:tcW w:w="11.434303%" w:type="pct"/>
          </w:tcPr>
          <w:p>
            <w:pPr>
              <w:pStyle w:val="table-level-0"/>
              <w:ind w:leftChars="0" w:left="0" w:right="0"/>
              <w:keepNext/>
            </w:pPr>
            <w:r>
              <w:t>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7b3d10a43d2e278e4948e0e5ed0f4c8e">
              <w:r>
                <w:rPr>
                  <w:rStyle w:val="Hyperlink"/>
                </w:rPr>
                <w:t>Crediti/debiti IVA</w:t>
              </w:r>
            </w:hyperlink>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51bf46f5e3e5f38d32fbaca50a63e5e1">
              <w:r>
                <w:rPr>
                  <w:rStyle w:val="Hyperlink"/>
                </w:rPr>
                <w:t>Anticipate e altri tributari</w:t>
              </w:r>
            </w:hyperlink>
          </w:p>
        </w:tc>
        <w:tc>
          <w:tcPr>
            <w:cnfStyle w:evenVBand="true" w:oddVBand="false" w:firstColumn="false"/>
            <w:tcW w:w="11.434303%" w:type="pct"/>
          </w:tcPr>
          <w:p>
            <w:pPr>
              <w:pStyle w:val="table-level-0"/>
              <w:ind w:leftChars="0" w:left="0" w:right="0"/>
              <w:keepNext/>
            </w:pPr>
            <w:r>
              <w:t>15,6</w:t>
            </w:r>
          </w:p>
        </w:tc>
        <w:tc>
          <w:tcPr>
            <w:cnfStyle w:evenVBand="false" w:oddVBand="true" w:firstColumn="false"/>
            <w:tcW w:w="11.434303%" w:type="pct"/>
          </w:tcPr>
          <w:p>
            <w:pPr>
              <w:pStyle w:val="table-level-0"/>
              <w:ind w:leftChars="0" w:left="0" w:right="0"/>
              <w:keepNext/>
            </w:pPr>
            <w:r>
              <w:t>10,4</w:t>
            </w:r>
          </w:p>
        </w:tc>
        <w:tc>
          <w:tcPr>
            <w:cnfStyle w:evenVBand="true" w:oddVBand="false" w:firstColumn="false"/>
            <w:tcW w:w="11.434303%" w:type="pct"/>
          </w:tcPr>
          <w:p>
            <w:pPr>
              <w:pStyle w:val="table-level-0"/>
              <w:ind w:leftChars="0" w:left="0" w:right="0"/>
              <w:keepNext/>
            </w:pPr>
            <w:r>
              <w:t>12,3</w:t>
            </w:r>
          </w:p>
        </w:tc>
        <w:tc>
          <w:tcPr>
            <w:cnfStyle w:evenVBand="false" w:oddVBand="true" w:firstColumn="false"/>
            <w:tcW w:w="11.434303%" w:type="pct"/>
          </w:tcPr>
          <w:p>
            <w:pPr>
              <w:pStyle w:val="table-level-0"/>
              <w:ind w:leftChars="0" w:left="0" w:right="0"/>
              <w:keepNext/>
            </w:pPr>
            <w:r>
              <w:t>18,9</w:t>
            </w:r>
          </w:p>
        </w:tc>
        <w:tc>
          <w:tcPr>
            <w:cnfStyle w:evenVBand="true" w:oddVBand="false" w:firstColumn="false"/>
            <w:tcW w:w="11.434303%" w:type="pct"/>
          </w:tcPr>
          <w:p>
            <w:pPr>
              <w:pStyle w:val="table-level-0"/>
              <w:ind w:leftChars="0" w:left="0" w:right="0"/>
              <w:keepNext/>
            </w:pPr>
            <w:r>
              <w:t>22,5</w:t>
            </w:r>
          </w:p>
        </w:tc>
        <w:tc>
          <w:tcPr>
            <w:cnfStyle w:evenVBand="false" w:oddVBand="true" w:firstColumn="false"/>
            <w:tcW w:w="11.434303%" w:type="pct"/>
          </w:tcPr>
          <w:p>
            <w:pPr>
              <w:pStyle w:val="table-level-0"/>
              <w:ind w:leftChars="0" w:left="0" w:right="0"/>
              <w:keepNext/>
            </w:pPr>
            <w:r>
              <w:t>28,5</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d7db17b91becfb861d08fd3341e2127">
              <w:r>
                <w:rPr>
                  <w:rStyle w:val="Hyperlink"/>
                </w:rPr>
                <w:t>Crediti/debiti diversi</w:t>
              </w:r>
            </w:hyperlink>
          </w:p>
        </w:tc>
        <w:tc>
          <w:tcPr>
            <w:cnfStyle w:evenVBand="true" w:oddVBand="false" w:firstColumn="false"/>
            <w:tcW w:w="11.434303%" w:type="pct"/>
          </w:tcPr>
          <w:p>
            <w:pPr>
              <w:pStyle w:val="table-level-1"/>
              <w:ind w:leftChars="0" w:left="0" w:right="0"/>
              <w:keepNext/>
            </w:pPr>
            <w:r>
              <w:t>-146</w:t>
            </w:r>
          </w:p>
        </w:tc>
        <w:tc>
          <w:tcPr>
            <w:cnfStyle w:evenVBand="false" w:oddVBand="true" w:firstColumn="false"/>
            <w:tcW w:w="11.434303%" w:type="pct"/>
          </w:tcPr>
          <w:p>
            <w:pPr>
              <w:pStyle w:val="table-level-1"/>
              <w:ind w:leftChars="0" w:left="0" w:right="0"/>
              <w:keepNext/>
            </w:pPr>
            <w:r>
              <w:t>-127,5</w:t>
            </w:r>
          </w:p>
        </w:tc>
        <w:tc>
          <w:tcPr>
            <w:cnfStyle w:evenVBand="true" w:oddVBand="false" w:firstColumn="false"/>
            <w:tcW w:w="11.434303%" w:type="pct"/>
          </w:tcPr>
          <w:p>
            <w:pPr>
              <w:pStyle w:val="table-level-1"/>
              <w:ind w:leftChars="0" w:left="0" w:right="0"/>
              <w:keepNext/>
            </w:pPr>
            <w:r>
              <w:t>-84,5</w:t>
            </w:r>
          </w:p>
        </w:tc>
        <w:tc>
          <w:tcPr>
            <w:cnfStyle w:evenVBand="false" w:oddVBand="true" w:firstColumn="false"/>
            <w:tcW w:w="11.434303%" w:type="pct"/>
          </w:tcPr>
          <w:p>
            <w:pPr>
              <w:pStyle w:val="table-level-1"/>
              <w:ind w:leftChars="0" w:left="0" w:right="0"/>
              <w:keepNext/>
            </w:pPr>
            <w:r>
              <w:t>-70,5</w:t>
            </w:r>
          </w:p>
        </w:tc>
        <w:tc>
          <w:tcPr>
            <w:cnfStyle w:evenVBand="true" w:oddVBand="false" w:firstColumn="false"/>
            <w:tcW w:w="11.434303%" w:type="pct"/>
          </w:tcPr>
          <w:p>
            <w:pPr>
              <w:pStyle w:val="table-level-1"/>
              <w:ind w:leftChars="0" w:left="0" w:right="0"/>
              <w:keepNext/>
            </w:pPr>
            <w:r>
              <w:t>-92,3</w:t>
            </w:r>
          </w:p>
        </w:tc>
        <w:tc>
          <w:tcPr>
            <w:cnfStyle w:evenVBand="false" w:oddVBand="true" w:firstColumn="false"/>
            <w:tcW w:w="11.434303%" w:type="pct"/>
          </w:tcPr>
          <w:p>
            <w:pPr>
              <w:pStyle w:val="table-level-1"/>
              <w:ind w:leftChars="0" w:left="0" w:right="0"/>
              <w:keepNext/>
            </w:pPr>
            <w:r>
              <w:t>-113,9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crediti</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18</w:t>
            </w:r>
          </w:p>
        </w:tc>
        <w:tc>
          <w:tcPr>
            <w:cnfStyle w:evenVBand="true" w:oddVBand="false" w:firstColumn="false"/>
            <w:tcW w:w="11.434303%" w:type="pct"/>
          </w:tcPr>
          <w:p>
            <w:pPr>
              <w:pStyle w:val="table-level-0"/>
              <w:ind w:leftChars="0" w:left="0" w:right="0"/>
              <w:keepNext/>
            </w:pPr>
            <w:r>
              <w:t>16</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13,4</w:t>
            </w:r>
          </w:p>
        </w:tc>
        <w:tc>
          <w:tcPr>
            <w:cnfStyle w:evenVBand="false" w:oddVBand="true" w:firstColumn="false"/>
            <w:tcW w:w="11.434303%" w:type="pct"/>
          </w:tcPr>
          <w:p>
            <w:pPr>
              <w:pStyle w:val="table-level-0"/>
              <w:ind w:leftChars="0" w:left="0" w:right="0"/>
              <w:keepNext/>
            </w:pPr>
            <w:r>
              <w:t>11,8</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-0,5</w:t>
            </w:r>
          </w:p>
        </w:tc>
        <w:tc>
          <w:tcPr>
            <w:cnfStyle w:evenVBand="true" w:oddVBand="false" w:firstColumn="false"/>
            <w:tcW w:w="11.434303%" w:type="pct"/>
          </w:tcPr>
          <w:p>
            <w:pPr>
              <w:pStyle w:val="table-level-100"/>
              <w:ind w:leftChars="0" w:left="0" w:right="0"/>
              <w:keepNext/>
            </w:pPr>
            <w:r>
              <w:t>-0,5</w:t>
            </w:r>
          </w:p>
        </w:tc>
        <w:tc>
          <w:tcPr>
            <w:cnfStyle w:evenVBand="false" w:oddVBand="true" w:firstColumn="false"/>
            <w:tcW w:w="11.434303%" w:type="pct"/>
          </w:tcPr>
          <w:p>
            <w:pPr>
              <w:pStyle w:val="table-level-100"/>
              <w:ind w:leftChars="0" w:left="0" w:right="0"/>
              <w:keepNext/>
            </w:pPr>
            <w:r>
              <w:t>-0,5</w:t>
            </w:r>
          </w:p>
        </w:tc>
        <w:tc>
          <w:tcPr>
            <w:cnfStyle w:evenVBand="true" w:oddVBand="false" w:firstColumn="false"/>
            <w:tcW w:w="11.434303%" w:type="pct"/>
          </w:tcPr>
          <w:p>
            <w:pPr>
              <w:pStyle w:val="table-level-100"/>
              <w:ind w:leftChars="0" w:left="0" w:right="0"/>
              <w:keepNext/>
            </w:pPr>
            <w:r>
              <w:t>-0,7</w:t>
            </w:r>
          </w:p>
        </w:tc>
        <w:tc>
          <w:tcPr>
            <w:cnfStyle w:evenVBand="false" w:oddVBand="true" w:firstColumn="false"/>
            <w:tcW w:w="11.434303%" w:type="pct"/>
          </w:tcPr>
          <w:p>
            <w:pPr>
              <w:pStyle w:val="table-level-100"/>
              <w:ind w:leftChars="0" w:left="0" w:right="0"/>
              <w:keepNext/>
            </w:pPr>
            <w:r>
              <w:t>-0,7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debiti</w:t>
            </w:r>
          </w:p>
        </w:tc>
        <w:tc>
          <w:tcPr>
            <w:cnfStyle w:evenVBand="true" w:oddVBand="false" w:firstColumn="false"/>
            <w:tcW w:w="11.434303%" w:type="pct"/>
          </w:tcPr>
          <w:p>
            <w:pPr>
              <w:pStyle w:val="table-level-0"/>
              <w:ind w:leftChars="0" w:left="0" w:right="0"/>
              <w:keepNext/>
            </w:pPr>
            <w:r>
              <w:t>-135</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-90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Debiti v/istituti di previdenza</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-35</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042bf0b8168c57fbf98d0e5f1275aebf">
              <w:r>
                <w:rPr>
                  <w:rStyle w:val="Hyperlink"/>
                </w:rPr>
                <w:t>Ratei e risconti netti</w:t>
              </w:r>
            </w:hyperlink>
          </w:p>
        </w:tc>
        <w:tc>
          <w:tcPr>
            <w:cnfStyle w:evenVBand="true" w:oddVBand="false" w:firstColumn="false"/>
            <w:tcW w:w="11.434303%" w:type="pct"/>
          </w:tcPr>
          <w:p>
            <w:pPr>
              <w:pStyle w:val="table-level-1"/>
              <w:ind w:leftChars="0" w:left="0" w:right="0"/>
              <w:keepNext/>
            </w:pPr>
            <w:r>
              <w:t>7,5</w:t>
            </w:r>
          </w:p>
        </w:tc>
        <w:tc>
          <w:tcPr>
            <w:cnfStyle w:evenVBand="false" w:oddVBand="true" w:firstColumn="false"/>
            <w:tcW w:w="11.434303%" w:type="pct"/>
          </w:tcPr>
          <w:p>
            <w:pPr>
              <w:pStyle w:val="table-level-1"/>
              <w:ind w:leftChars="0" w:left="0" w:right="0"/>
              <w:keepNext/>
            </w:pPr>
            <w:r>
              <w:t>2,8</w:t>
            </w:r>
          </w:p>
        </w:tc>
        <w:tc>
          <w:tcPr>
            <w:cnfStyle w:evenVBand="true" w:oddVBand="false" w:firstColumn="false"/>
            <w:tcW w:w="11.434303%" w:type="pct"/>
          </w:tcPr>
          <w:p>
            <w:pPr>
              <w:pStyle w:val="table-level-1"/>
              <w:ind w:leftChars="0" w:left="0" w:right="0"/>
              <w:keepNext/>
            </w:pPr>
            <w:r>
              <w:t>-2,2</w:t>
            </w:r>
          </w:p>
        </w:tc>
        <w:tc>
          <w:tcPr>
            <w:cnfStyle w:evenVBand="false" w:oddVBand="true" w:firstColumn="false"/>
            <w:tcW w:w="11.434303%" w:type="pct"/>
          </w:tcPr>
          <w:p>
            <w:pPr>
              <w:pStyle w:val="table-level-1"/>
              <w:ind w:leftChars="0" w:left="0" w:right="0"/>
              <w:keepNext/>
            </w:pPr>
            <w:r>
              <w:t>-5,5</w:t>
            </w:r>
          </w:p>
        </w:tc>
        <w:tc>
          <w:tcPr>
            <w:cnfStyle w:evenVBand="true" w:oddVBand="false" w:firstColumn="false"/>
            <w:tcW w:w="11.434303%" w:type="pct"/>
          </w:tcPr>
          <w:p>
            <w:pPr>
              <w:pStyle w:val="table-level-1"/>
              <w:ind w:leftChars="0" w:left="0" w:right="0"/>
              <w:keepNext/>
            </w:pPr>
            <w:r>
              <w:t>-7,7</w:t>
            </w:r>
          </w:p>
        </w:tc>
        <w:tc>
          <w:tcPr>
            <w:cnfStyle w:evenVBand="false" w:oddVBand="true" w:firstColumn="false"/>
            <w:tcW w:w="11.434303%" w:type="pct"/>
          </w:tcPr>
          <w:p>
            <w:pPr>
              <w:pStyle w:val="table-level-1"/>
              <w:ind w:leftChars="0" w:left="0" w:right="0"/>
              <w:keepNext/>
            </w:pPr>
            <w:r>
              <w:t>-0,9</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Ratei attivi</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2,4</w:t>
            </w:r>
          </w:p>
        </w:tc>
        <w:tc>
          <w:tcPr>
            <w:cnfStyle w:evenVBand="false" w:oddVBand="true" w:firstColumn="false"/>
            <w:tcW w:w="11.434303%" w:type="pct"/>
          </w:tcPr>
          <w:p>
            <w:pPr>
              <w:pStyle w:val="table-level-0"/>
              <w:ind w:leftChars="0" w:left="0" w:right="0"/>
              <w:keepNext/>
            </w:pPr>
            <w:r>
              <w:t>2,3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Risconti attivi</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0,9</w:t>
            </w:r>
          </w:p>
        </w:tc>
        <w:tc>
          <w:tcPr>
            <w:cnfStyle w:evenVBand="false" w:oddVBand="true" w:firstColumn="false"/>
            <w:tcW w:w="11.434303%" w:type="pct"/>
          </w:tcPr>
          <w:p>
            <w:pPr>
              <w:pStyle w:val="table-level-0"/>
              <w:ind w:leftChars="0" w:left="0" w:right="0"/>
              <w:keepNext/>
            </w:pPr>
            <w:r>
              <w:t>0,8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Ratei passivi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-2,5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Risconti passivi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-1,5</w:t>
            </w:r>
          </w:p>
        </w:tc>
      </w:tr>
    </w:tbl>
    <w:p>
      <w:pPr>
        <w:pStyle w:val="TableBottomMargin"/>
      </w:pPr>
    </w:p>
    <w:br w:type="page"/>
    <w:p>
      <w:pPr>
        <w:pStyle w:val="BodyText"/>
        <w:ind w:leftChars="0" w:left="0" w:right="0"/>
      </w:pPr>
      <w:r>
        <w:rPr>
          <w:b/>
          <w:bCs/>
        </w:rPr>
        <w:t>Fonti di finanziamento</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3"/>
              <w:ind w:leftChars="0" w:left="0" w:right="0"/>
              <w:keepNext/>
            </w:pPr>
            <w:hyperlink w:anchor="_4b7df992f6467056150d59975fa8943a">
              <w:r>
                <w:rPr>
                  <w:rStyle w:val="Hyperlink"/>
                </w:rPr>
                <w:t>Fonti di finanziamento</w:t>
              </w:r>
            </w:hyperlink>
          </w:p>
        </w:tc>
        <w:tc>
          <w:tcPr>
            <w:cnfStyle w:evenVBand="true" w:oddVBand="false" w:firstColumn="false"/>
            <w:tcW w:w="11.434303%" w:type="pct"/>
          </w:tcPr>
          <w:p>
            <w:pPr>
              <w:pStyle w:val="table-level-3"/>
              <w:ind w:leftChars="0" w:left="0" w:right="0"/>
              <w:keepNext/>
            </w:pPr>
            <w:r>
              <w:t>7.007</w:t>
            </w:r>
          </w:p>
        </w:tc>
        <w:tc>
          <w:tcPr>
            <w:cnfStyle w:evenVBand="false" w:oddVBand="true" w:firstColumn="false"/>
            <w:tcW w:w="11.434303%" w:type="pct"/>
          </w:tcPr>
          <w:p>
            <w:pPr>
              <w:pStyle w:val="table-level-3"/>
              <w:ind w:leftChars="0" w:left="0" w:right="0"/>
              <w:keepNext/>
            </w:pPr>
            <w:r>
              <w:t>6.343</w:t>
            </w:r>
          </w:p>
        </w:tc>
        <w:tc>
          <w:tcPr>
            <w:cnfStyle w:evenVBand="true" w:oddVBand="false" w:firstColumn="false"/>
            <w:tcW w:w="11.434303%" w:type="pct"/>
          </w:tcPr>
          <w:p>
            <w:pPr>
              <w:pStyle w:val="table-level-3"/>
              <w:ind w:leftChars="0" w:left="0" w:right="0"/>
              <w:keepNext/>
            </w:pPr>
            <w:r>
              <w:t>4.920</w:t>
            </w:r>
          </w:p>
        </w:tc>
        <w:tc>
          <w:tcPr>
            <w:cnfStyle w:evenVBand="false" w:oddVBand="true" w:firstColumn="false"/>
            <w:tcW w:w="11.434303%" w:type="pct"/>
          </w:tcPr>
          <w:p>
            <w:pPr>
              <w:pStyle w:val="table-level-3"/>
              <w:ind w:leftChars="0" w:left="0" w:right="0"/>
              <w:keepNext/>
            </w:pPr>
            <w:r>
              <w:t>4.555</w:t>
            </w:r>
          </w:p>
        </w:tc>
        <w:tc>
          <w:tcPr>
            <w:cnfStyle w:evenVBand="true" w:oddVBand="false" w:firstColumn="false"/>
            <w:tcW w:w="11.434303%" w:type="pct"/>
          </w:tcPr>
          <w:p>
            <w:pPr>
              <w:pStyle w:val="table-level-3"/>
              <w:ind w:leftChars="0" w:left="0" w:right="0"/>
              <w:keepNext/>
            </w:pPr>
            <w:r>
              <w:t>3.909</w:t>
            </w:r>
          </w:p>
        </w:tc>
        <w:tc>
          <w:tcPr>
            <w:cnfStyle w:evenVBand="false" w:oddVBand="true" w:firstColumn="false"/>
            <w:tcW w:w="11.434303%" w:type="pct"/>
          </w:tcPr>
          <w:p>
            <w:pPr>
              <w:pStyle w:val="table-level-3"/>
              <w:ind w:leftChars="0" w:left="0" w:right="0"/>
              <w:keepNext/>
            </w:pPr>
            <w:r>
              <w:t>3.629</w:t>
            </w:r>
          </w:p>
        </w:tc>
      </w:tr>
      <w:tr>
        <w:trPr>
          <w:cnfStyle w:evenHBand="true" w:oddHBand="false" w:firstRow="false"/>
          <w:cantSplit/>
        </w:trPr>
        <w:tc>
          <w:tcPr>
            <w:cnfStyle w:evenVBand="false" w:oddVBand="true" w:firstColumn="false"/>
            <w:tcW w:w="31.394183%" w:type="pct"/>
          </w:tcPr>
          <w:p>
            <w:pPr>
              <w:pStyle w:val="index-table-level-2"/>
              <w:ind w:leftChars="0" w:left="0" w:right="0"/>
              <w:keepNext/>
            </w:pPr>
            <w:hyperlink w:anchor="_5151f2961ee6627745beaa5e2aef60f0">
              <w:r>
                <w:rPr>
                  <w:rStyle w:val="Hyperlink"/>
                </w:rPr>
                <w:t>Patrimonio netto</w:t>
              </w:r>
            </w:hyperlink>
          </w:p>
        </w:tc>
        <w:tc>
          <w:tcPr>
            <w:cnfStyle w:evenVBand="true" w:oddVBand="false" w:firstColumn="false"/>
            <w:tcW w:w="11.434303%" w:type="pct"/>
          </w:tcPr>
          <w:p>
            <w:pPr>
              <w:pStyle w:val="table-level-2"/>
              <w:ind w:leftChars="0" w:left="0" w:right="0"/>
              <w:keepNext/>
            </w:pPr>
            <w:r>
              <w:t>3.669</w:t>
            </w:r>
          </w:p>
        </w:tc>
        <w:tc>
          <w:tcPr>
            <w:cnfStyle w:evenVBand="false" w:oddVBand="true" w:firstColumn="false"/>
            <w:tcW w:w="11.434303%" w:type="pct"/>
          </w:tcPr>
          <w:p>
            <w:pPr>
              <w:pStyle w:val="table-level-2"/>
              <w:ind w:leftChars="0" w:left="0" w:right="0"/>
              <w:keepNext/>
            </w:pPr>
            <w:r>
              <w:t>3.243</w:t>
            </w:r>
          </w:p>
        </w:tc>
        <w:tc>
          <w:tcPr>
            <w:cnfStyle w:evenVBand="true" w:oddVBand="false" w:firstColumn="false"/>
            <w:tcW w:w="11.434303%" w:type="pct"/>
          </w:tcPr>
          <w:p>
            <w:pPr>
              <w:pStyle w:val="table-level-2"/>
              <w:ind w:leftChars="0" w:left="0" w:right="0"/>
              <w:keepNext/>
            </w:pPr>
            <w:r>
              <w:t>2.206</w:t>
            </w:r>
          </w:p>
        </w:tc>
        <w:tc>
          <w:tcPr>
            <w:cnfStyle w:evenVBand="false" w:oddVBand="true" w:firstColumn="false"/>
            <w:tcW w:w="11.434303%" w:type="pct"/>
          </w:tcPr>
          <w:p>
            <w:pPr>
              <w:pStyle w:val="table-level-2"/>
              <w:ind w:leftChars="0" w:left="0" w:right="0"/>
              <w:keepNext/>
            </w:pPr>
            <w:r>
              <w:t>1.800</w:t>
            </w:r>
          </w:p>
        </w:tc>
        <w:tc>
          <w:tcPr>
            <w:cnfStyle w:evenVBand="true" w:oddVBand="false" w:firstColumn="false"/>
            <w:tcW w:w="11.434303%" w:type="pct"/>
          </w:tcPr>
          <w:p>
            <w:pPr>
              <w:pStyle w:val="table-level-2"/>
              <w:ind w:leftChars="0" w:left="0" w:right="0"/>
              <w:keepNext/>
            </w:pPr>
            <w:r>
              <w:t>1.351</w:t>
            </w:r>
          </w:p>
        </w:tc>
        <w:tc>
          <w:tcPr>
            <w:cnfStyle w:evenVBand="false" w:oddVBand="true" w:firstColumn="false"/>
            <w:tcW w:w="11.434303%" w:type="pct"/>
          </w:tcPr>
          <w:p>
            <w:pPr>
              <w:pStyle w:val="table-level-2"/>
              <w:ind w:leftChars="0" w:left="0" w:right="0"/>
              <w:keepNext/>
            </w:pPr>
            <w:r>
              <w:t>1.479</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Capitale sociale</w:t>
            </w:r>
          </w:p>
        </w:tc>
        <w:tc>
          <w:tcPr>
            <w:cnfStyle w:evenVBand="true" w:oddVBand="false" w:firstColumn="false"/>
            <w:tcW w:w="11.434303%" w:type="pct"/>
          </w:tcPr>
          <w:p>
            <w:pPr>
              <w:pStyle w:val="table-level-1"/>
              <w:ind w:leftChars="0" w:left="0" w:right="0"/>
              <w:keepNext/>
            </w:pPr>
            <w:r>
              <w:t>150</w:t>
            </w:r>
          </w:p>
        </w:tc>
        <w:tc>
          <w:tcPr>
            <w:cnfStyle w:evenVBand="false" w:oddVBand="true" w:firstColumn="false"/>
            <w:tcW w:w="11.434303%" w:type="pct"/>
          </w:tcPr>
          <w:p>
            <w:pPr>
              <w:pStyle w:val="table-level-1"/>
              <w:ind w:leftChars="0" w:left="0" w:right="0"/>
              <w:keepNext/>
            </w:pPr>
            <w:r>
              <w:t>150</w:t>
            </w:r>
          </w:p>
        </w:tc>
        <w:tc>
          <w:tcPr>
            <w:cnfStyle w:evenVBand="true" w:oddVBand="false" w:firstColumn="false"/>
            <w:tcW w:w="11.434303%" w:type="pct"/>
          </w:tcPr>
          <w:p>
            <w:pPr>
              <w:pStyle w:val="table-level-1"/>
              <w:ind w:leftChars="0" w:left="0" w:right="0"/>
              <w:keepNext/>
            </w:pPr>
            <w:r>
              <w:t>150</w:t>
            </w:r>
          </w:p>
        </w:tc>
        <w:tc>
          <w:tcPr>
            <w:cnfStyle w:evenVBand="false" w:oddVBand="true" w:firstColumn="false"/>
            <w:tcW w:w="11.434303%" w:type="pct"/>
          </w:tcPr>
          <w:p>
            <w:pPr>
              <w:pStyle w:val="table-level-1"/>
              <w:ind w:leftChars="0" w:left="0" w:right="0"/>
              <w:keepNext/>
            </w:pPr>
            <w:r>
              <w:t>150</w:t>
            </w:r>
          </w:p>
        </w:tc>
        <w:tc>
          <w:tcPr>
            <w:cnfStyle w:evenVBand="true" w:oddVBand="false" w:firstColumn="false"/>
            <w:tcW w:w="11.434303%" w:type="pct"/>
          </w:tcPr>
          <w:p>
            <w:pPr>
              <w:pStyle w:val="table-level-1"/>
              <w:ind w:leftChars="0" w:left="0" w:right="0"/>
              <w:keepNext/>
            </w:pPr>
            <w:r>
              <w:t>150</w:t>
            </w:r>
          </w:p>
        </w:tc>
        <w:tc>
          <w:tcPr>
            <w:cnfStyle w:evenVBand="false" w:oddVBand="true" w:firstColumn="false"/>
            <w:tcW w:w="11.434303%" w:type="pct"/>
          </w:tcPr>
          <w:p>
            <w:pPr>
              <w:pStyle w:val="table-level-1"/>
              <w:ind w:leftChars="0" w:left="0" w:right="0"/>
              <w:keepNext/>
            </w:pPr>
            <w:r>
              <w:t>80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ae1b690f12afb74c32dcb8c67f9e469e">
              <w:r>
                <w:rPr>
                  <w:rStyle w:val="Hyperlink"/>
                </w:rPr>
                <w:t>Riserve</w:t>
              </w:r>
            </w:hyperlink>
          </w:p>
        </w:tc>
        <w:tc>
          <w:tcPr>
            <w:cnfStyle w:evenVBand="true" w:oddVBand="false" w:firstColumn="false"/>
            <w:tcW w:w="11.434303%" w:type="pct"/>
          </w:tcPr>
          <w:p>
            <w:pPr>
              <w:pStyle w:val="table-level-1"/>
              <w:ind w:leftChars="0" w:left="0" w:right="0"/>
              <w:keepNext/>
            </w:pPr>
            <w:r>
              <w:t>440</w:t>
            </w:r>
          </w:p>
        </w:tc>
        <w:tc>
          <w:tcPr>
            <w:cnfStyle w:evenVBand="false" w:oddVBand="true" w:firstColumn="false"/>
            <w:tcW w:w="11.434303%" w:type="pct"/>
          </w:tcPr>
          <w:p>
            <w:pPr>
              <w:pStyle w:val="table-level-1"/>
              <w:ind w:leftChars="0" w:left="0" w:right="0"/>
              <w:keepNext/>
            </w:pPr>
            <w:r>
              <w:t>642,5</w:t>
            </w:r>
          </w:p>
        </w:tc>
        <w:tc>
          <w:tcPr>
            <w:cnfStyle w:evenVBand="true" w:oddVBand="false" w:firstColumn="false"/>
            <w:tcW w:w="11.434303%" w:type="pct"/>
          </w:tcPr>
          <w:p>
            <w:pPr>
              <w:pStyle w:val="table-level-1"/>
              <w:ind w:leftChars="0" w:left="0" w:right="0"/>
              <w:keepNext/>
            </w:pPr>
            <w:r>
              <w:t>432</w:t>
            </w:r>
          </w:p>
        </w:tc>
        <w:tc>
          <w:tcPr>
            <w:cnfStyle w:evenVBand="false" w:oddVBand="true" w:firstColumn="false"/>
            <w:tcW w:w="11.434303%" w:type="pct"/>
          </w:tcPr>
          <w:p>
            <w:pPr>
              <w:pStyle w:val="table-level-1"/>
              <w:ind w:leftChars="0" w:left="0" w:right="0"/>
              <w:keepNext/>
            </w:pPr>
            <w:r>
              <w:t>432,4</w:t>
            </w:r>
          </w:p>
        </w:tc>
        <w:tc>
          <w:tcPr>
            <w:cnfStyle w:evenVBand="true" w:oddVBand="false" w:firstColumn="false"/>
            <w:tcW w:w="11.434303%" w:type="pct"/>
          </w:tcPr>
          <w:p>
            <w:pPr>
              <w:pStyle w:val="table-level-1"/>
              <w:ind w:leftChars="0" w:left="0" w:right="0"/>
              <w:keepNext/>
            </w:pPr>
            <w:r>
              <w:t>372</w:t>
            </w:r>
          </w:p>
        </w:tc>
        <w:tc>
          <w:tcPr>
            <w:cnfStyle w:evenVBand="false" w:oddVBand="true" w:firstColumn="false"/>
            <w:tcW w:w="11.434303%" w:type="pct"/>
          </w:tcPr>
          <w:p>
            <w:pPr>
              <w:pStyle w:val="table-level-1"/>
              <w:ind w:leftChars="0" w:left="0" w:right="0"/>
              <w:keepNext/>
            </w:pPr>
            <w:r>
              <w:t>362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da sovrapprezzo</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550</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350</w:t>
            </w:r>
          </w:p>
        </w:tc>
        <w:tc>
          <w:tcPr>
            <w:cnfStyle w:evenVBand="true" w:oddVBand="false" w:firstColumn="false"/>
            <w:tcW w:w="11.434303%" w:type="pct"/>
          </w:tcPr>
          <w:p>
            <w:pPr>
              <w:pStyle w:val="table-level-0"/>
              <w:ind w:leftChars="0" w:left="0" w:right="0"/>
              <w:keepNext/>
            </w:pPr>
            <w:r>
              <w:t>340</w:t>
            </w:r>
          </w:p>
        </w:tc>
        <w:tc>
          <w:tcPr>
            <w:cnfStyle w:evenVBand="false" w:oddVBand="true" w:firstColumn="false"/>
            <w:tcW w:w="11.434303%" w:type="pct"/>
          </w:tcPr>
          <w:p>
            <w:pPr>
              <w:pStyle w:val="table-level-0"/>
              <w:ind w:leftChars="0" w:left="0" w:right="0"/>
              <w:keepNext/>
            </w:pPr>
            <w:r>
              <w:t>330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di rivalutazione</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legale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statutaria</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Altre riserve</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operazioni di copertura</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negativa azioni proprie</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Utili/perdite portati a nuovo</w:t>
            </w:r>
          </w:p>
        </w:tc>
        <w:tc>
          <w:tcPr>
            <w:cnfStyle w:evenVBand="true" w:oddVBand="false" w:firstColumn="false"/>
            <w:tcW w:w="11.434303%" w:type="pct"/>
          </w:tcPr>
          <w:p>
            <w:pPr>
              <w:pStyle w:val="table-level-1"/>
              <w:ind w:leftChars="0" w:left="0" w:right="0"/>
              <w:keepNext/>
            </w:pPr>
            <w:r>
              <w:t>2.400</w:t>
            </w:r>
          </w:p>
        </w:tc>
        <w:tc>
          <w:tcPr>
            <w:cnfStyle w:evenVBand="false" w:oddVBand="true" w:firstColumn="false"/>
            <w:tcW w:w="11.434303%" w:type="pct"/>
          </w:tcPr>
          <w:p>
            <w:pPr>
              <w:pStyle w:val="table-level-1"/>
              <w:ind w:leftChars="0" w:left="0" w:right="0"/>
              <w:keepNext/>
            </w:pPr>
            <w:r>
              <w:t>1.600</w:t>
            </w:r>
          </w:p>
        </w:tc>
        <w:tc>
          <w:tcPr>
            <w:cnfStyle w:evenVBand="true" w:oddVBand="false" w:firstColumn="false"/>
            <w:tcW w:w="11.434303%" w:type="pct"/>
          </w:tcPr>
          <w:p>
            <w:pPr>
              <w:pStyle w:val="table-level-1"/>
              <w:ind w:leftChars="0" w:left="0" w:right="0"/>
              <w:keepNext/>
            </w:pPr>
            <w:r>
              <w:t>700</w:t>
            </w:r>
          </w:p>
        </w:tc>
        <w:tc>
          <w:tcPr>
            <w:cnfStyle w:evenVBand="false" w:oddVBand="true" w:firstColumn="false"/>
            <w:tcW w:w="11.434303%" w:type="pct"/>
          </w:tcPr>
          <w:p>
            <w:pPr>
              <w:pStyle w:val="table-level-1"/>
              <w:ind w:leftChars="0" w:left="0" w:right="0"/>
              <w:keepNext/>
            </w:pPr>
            <w:r>
              <w:t>500</w:t>
            </w:r>
          </w:p>
        </w:tc>
        <w:tc>
          <w:tcPr>
            <w:cnfStyle w:evenVBand="true" w:oddVBand="false" w:firstColumn="false"/>
            <w:tcW w:w="11.434303%" w:type="pct"/>
          </w:tcPr>
          <w:p>
            <w:pPr>
              <w:pStyle w:val="table-level-1"/>
              <w:ind w:leftChars="0" w:left="0" w:right="0"/>
              <w:keepNext/>
            </w:pPr>
            <w:r>
              <w:t>500</w:t>
            </w:r>
          </w:p>
        </w:tc>
        <w:tc>
          <w:tcPr>
            <w:cnfStyle w:evenVBand="false" w:oddVBand="true" w:firstColumn="false"/>
            <w:tcW w:w="11.434303%" w:type="pct"/>
          </w:tcPr>
          <w:p>
            <w:pPr>
              <w:pStyle w:val="table-level-1"/>
              <w:ind w:leftChars="0" w:left="0" w:right="0"/>
              <w:keepNext/>
            </w:pPr>
            <w:r>
              <w:t>500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Risultato del periodo</w:t>
            </w:r>
          </w:p>
        </w:tc>
        <w:tc>
          <w:tcPr>
            <w:cnfStyle w:evenVBand="true" w:oddVBand="false" w:firstColumn="false"/>
            <w:tcW w:w="11.434303%" w:type="pct"/>
          </w:tcPr>
          <w:p>
            <w:pPr>
              <w:pStyle w:val="table-level-1"/>
              <w:ind w:leftChars="0" w:left="0" w:right="0"/>
              <w:keepNext/>
            </w:pPr>
            <w:r>
              <w:t>678,9</w:t>
            </w:r>
          </w:p>
        </w:tc>
        <w:tc>
          <w:tcPr>
            <w:cnfStyle w:evenVBand="false" w:oddVBand="true" w:firstColumn="false"/>
            <w:tcW w:w="11.434303%" w:type="pct"/>
          </w:tcPr>
          <w:p>
            <w:pPr>
              <w:pStyle w:val="table-level-1"/>
              <w:ind w:leftChars="0" w:left="0" w:right="0"/>
              <w:keepNext/>
            </w:pPr>
            <w:r>
              <w:t>850,5</w:t>
            </w:r>
          </w:p>
        </w:tc>
        <w:tc>
          <w:tcPr>
            <w:cnfStyle w:evenVBand="true" w:oddVBand="false" w:firstColumn="false"/>
            <w:tcW w:w="11.434303%" w:type="pct"/>
          </w:tcPr>
          <w:p>
            <w:pPr>
              <w:pStyle w:val="table-level-1"/>
              <w:ind w:leftChars="0" w:left="0" w:right="0"/>
              <w:keepNext/>
            </w:pPr>
            <w:r>
              <w:t>924,4</w:t>
            </w:r>
          </w:p>
        </w:tc>
        <w:tc>
          <w:tcPr>
            <w:cnfStyle w:evenVBand="false" w:oddVBand="true" w:firstColumn="false"/>
            <w:tcW w:w="11.434303%" w:type="pct"/>
          </w:tcPr>
          <w:p>
            <w:pPr>
              <w:pStyle w:val="table-level-1"/>
              <w:ind w:leftChars="0" w:left="0" w:right="0"/>
              <w:keepNext/>
            </w:pPr>
            <w:r>
              <w:t>717,3</w:t>
            </w:r>
          </w:p>
        </w:tc>
        <w:tc>
          <w:tcPr>
            <w:cnfStyle w:evenVBand="true" w:oddVBand="false" w:firstColumn="false"/>
            <w:tcW w:w="11.434303%" w:type="pct"/>
          </w:tcPr>
          <w:p>
            <w:pPr>
              <w:pStyle w:val="table-level-1"/>
              <w:ind w:leftChars="0" w:left="0" w:right="0"/>
              <w:keepNext/>
            </w:pPr>
            <w:r>
              <w:t>329,2</w:t>
            </w:r>
          </w:p>
        </w:tc>
        <w:tc>
          <w:tcPr>
            <w:cnfStyle w:evenVBand="false" w:oddVBand="true" w:firstColumn="false"/>
            <w:tcW w:w="11.434303%" w:type="pct"/>
          </w:tcPr>
          <w:p>
            <w:pPr>
              <w:pStyle w:val="table-level-1"/>
              <w:ind w:leftChars="0" w:left="0" w:right="0"/>
              <w:keepNext/>
            </w:pPr>
            <w:r>
              <w:t>536,9</w:t>
            </w:r>
          </w:p>
        </w:tc>
      </w:tr>
      <w:tr>
        <w:trPr>
          <w:cnfStyle w:evenHBand="true" w:oddHBand="false" w:firstRow="false"/>
          <w:cantSplit/>
        </w:trPr>
        <w:tc>
          <w:tcPr>
            <w:cnfStyle w:evenVBand="false" w:oddVBand="true" w:firstColumn="false"/>
            <w:tcW w:w="31.394183%" w:type="pct"/>
          </w:tcPr>
          <w:p>
            <w:pPr>
              <w:pStyle w:val="index-table-level-2"/>
              <w:ind w:leftChars="0" w:left="0" w:right="0"/>
              <w:keepNext/>
            </w:pPr>
            <w:hyperlink w:anchor="_6a73886d862435496ab94f274675da4a">
              <w:r>
                <w:rPr>
                  <w:rStyle w:val="Hyperlink"/>
                </w:rPr>
                <w:t>Posizione finanziaria netta</w:t>
              </w:r>
            </w:hyperlink>
          </w:p>
        </w:tc>
        <w:tc>
          <w:tcPr>
            <w:cnfStyle w:evenVBand="true" w:oddVBand="false" w:firstColumn="false"/>
            <w:tcW w:w="11.434303%" w:type="pct"/>
          </w:tcPr>
          <w:p>
            <w:pPr>
              <w:pStyle w:val="table-level-2"/>
              <w:ind w:leftChars="0" w:left="0" w:right="0"/>
              <w:keepNext/>
            </w:pPr>
            <w:r>
              <w:t>3.338</w:t>
            </w:r>
          </w:p>
        </w:tc>
        <w:tc>
          <w:tcPr>
            <w:cnfStyle w:evenVBand="false" w:oddVBand="true" w:firstColumn="false"/>
            <w:tcW w:w="11.434303%" w:type="pct"/>
          </w:tcPr>
          <w:p>
            <w:pPr>
              <w:pStyle w:val="table-level-2"/>
              <w:ind w:leftChars="0" w:left="0" w:right="0"/>
              <w:keepNext/>
            </w:pPr>
            <w:r>
              <w:t>3.100</w:t>
            </w:r>
          </w:p>
        </w:tc>
        <w:tc>
          <w:tcPr>
            <w:cnfStyle w:evenVBand="true" w:oddVBand="false" w:firstColumn="false"/>
            <w:tcW w:w="11.434303%" w:type="pct"/>
          </w:tcPr>
          <w:p>
            <w:pPr>
              <w:pStyle w:val="table-level-2"/>
              <w:ind w:leftChars="0" w:left="0" w:right="0"/>
              <w:keepNext/>
            </w:pPr>
            <w:r>
              <w:t>2.714</w:t>
            </w:r>
          </w:p>
        </w:tc>
        <w:tc>
          <w:tcPr>
            <w:cnfStyle w:evenVBand="false" w:oddVBand="true" w:firstColumn="false"/>
            <w:tcW w:w="11.434303%" w:type="pct"/>
          </w:tcPr>
          <w:p>
            <w:pPr>
              <w:pStyle w:val="table-level-2"/>
              <w:ind w:leftChars="0" w:left="0" w:right="0"/>
              <w:keepNext/>
            </w:pPr>
            <w:r>
              <w:t>2.755</w:t>
            </w:r>
          </w:p>
        </w:tc>
        <w:tc>
          <w:tcPr>
            <w:cnfStyle w:evenVBand="true" w:oddVBand="false" w:firstColumn="false"/>
            <w:tcW w:w="11.434303%" w:type="pct"/>
          </w:tcPr>
          <w:p>
            <w:pPr>
              <w:pStyle w:val="table-level-2"/>
              <w:ind w:leftChars="0" w:left="0" w:right="0"/>
              <w:keepNext/>
            </w:pPr>
            <w:r>
              <w:t>2.558</w:t>
            </w:r>
          </w:p>
        </w:tc>
        <w:tc>
          <w:tcPr>
            <w:cnfStyle w:evenVBand="false" w:oddVBand="true" w:firstColumn="false"/>
            <w:tcW w:w="11.434303%" w:type="pct"/>
          </w:tcPr>
          <w:p>
            <w:pPr>
              <w:pStyle w:val="table-level-2"/>
              <w:ind w:leftChars="0" w:left="0" w:right="0"/>
              <w:keepNext/>
            </w:pPr>
            <w:r>
              <w:t>2.150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ac2ed6b09d8b3f425f3dfe54fa5f06d">
              <w:r>
                <w:rPr>
                  <w:rStyle w:val="Hyperlink"/>
                </w:rPr>
                <w:t>Debiti finanziari</w:t>
              </w:r>
            </w:hyperlink>
          </w:p>
        </w:tc>
        <w:tc>
          <w:tcPr>
            <w:cnfStyle w:evenVBand="true" w:oddVBand="false" w:firstColumn="false"/>
            <w:tcW w:w="11.434303%" w:type="pct"/>
          </w:tcPr>
          <w:p>
            <w:pPr>
              <w:pStyle w:val="table-level-1"/>
              <w:ind w:leftChars="0" w:left="0" w:right="0"/>
              <w:keepNext/>
            </w:pPr>
            <w:r>
              <w:t>4.710</w:t>
            </w:r>
          </w:p>
        </w:tc>
        <w:tc>
          <w:tcPr>
            <w:cnfStyle w:evenVBand="false" w:oddVBand="true" w:firstColumn="false"/>
            <w:tcW w:w="11.434303%" w:type="pct"/>
          </w:tcPr>
          <w:p>
            <w:pPr>
              <w:pStyle w:val="table-level-1"/>
              <w:ind w:leftChars="0" w:left="0" w:right="0"/>
              <w:keepNext/>
            </w:pPr>
            <w:r>
              <w:t>3.290</w:t>
            </w:r>
          </w:p>
        </w:tc>
        <w:tc>
          <w:tcPr>
            <w:cnfStyle w:evenVBand="true" w:oddVBand="false" w:firstColumn="false"/>
            <w:tcW w:w="11.434303%" w:type="pct"/>
          </w:tcPr>
          <w:p>
            <w:pPr>
              <w:pStyle w:val="table-level-1"/>
              <w:ind w:leftChars="0" w:left="0" w:right="0"/>
              <w:keepNext/>
            </w:pPr>
            <w:r>
              <w:t>3.115</w:t>
            </w:r>
          </w:p>
        </w:tc>
        <w:tc>
          <w:tcPr>
            <w:cnfStyle w:evenVBand="false" w:oddVBand="true" w:firstColumn="false"/>
            <w:tcW w:w="11.434303%" w:type="pct"/>
          </w:tcPr>
          <w:p>
            <w:pPr>
              <w:pStyle w:val="table-level-1"/>
              <w:ind w:leftChars="0" w:left="0" w:right="0"/>
              <w:keepNext/>
            </w:pPr>
            <w:r>
              <w:t>3.185</w:t>
            </w:r>
          </w:p>
        </w:tc>
        <w:tc>
          <w:tcPr>
            <w:cnfStyle w:evenVBand="true" w:oddVBand="false" w:firstColumn="false"/>
            <w:tcW w:w="11.434303%" w:type="pct"/>
          </w:tcPr>
          <w:p>
            <w:pPr>
              <w:pStyle w:val="table-level-1"/>
              <w:ind w:leftChars="0" w:left="0" w:right="0"/>
              <w:keepNext/>
            </w:pPr>
            <w:r>
              <w:t>3.166</w:t>
            </w:r>
          </w:p>
        </w:tc>
        <w:tc>
          <w:tcPr>
            <w:cnfStyle w:evenVBand="false" w:oddVBand="true" w:firstColumn="false"/>
            <w:tcW w:w="11.434303%" w:type="pct"/>
          </w:tcPr>
          <w:p>
            <w:pPr>
              <w:pStyle w:val="table-level-1"/>
              <w:ind w:leftChars="0" w:left="0" w:right="0"/>
              <w:keepNext/>
            </w:pPr>
            <w:r>
              <w:t>3.097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5fb7b826921429561ca078bca28c5e0c">
              <w:r>
                <w:rPr>
                  <w:rStyle w:val="Hyperlink"/>
                </w:rPr>
                <w:t>Obbligazioni</w:t>
              </w:r>
            </w:hyperlink>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95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b4432d1dfcc863667352184cc4e35f1a">
              <w:r>
                <w:rPr>
                  <w:rStyle w:val="Hyperlink"/>
                </w:rPr>
                <w:t>Debiti v/banche</w:t>
              </w:r>
            </w:hyperlink>
          </w:p>
        </w:tc>
        <w:tc>
          <w:tcPr>
            <w:cnfStyle w:evenVBand="true" w:oddVBand="false" w:firstColumn="false"/>
            <w:tcW w:w="11.434303%" w:type="pct"/>
          </w:tcPr>
          <w:p>
            <w:pPr>
              <w:pStyle w:val="table-level-0"/>
              <w:ind w:leftChars="0" w:left="0" w:right="0"/>
              <w:keepNext/>
            </w:pPr>
            <w:r>
              <w:t>4.575</w:t>
            </w:r>
          </w:p>
        </w:tc>
        <w:tc>
          <w:tcPr>
            <w:cnfStyle w:evenVBand="false" w:oddVBand="true" w:firstColumn="false"/>
            <w:tcW w:w="11.434303%" w:type="pct"/>
          </w:tcPr>
          <w:p>
            <w:pPr>
              <w:pStyle w:val="table-level-0"/>
              <w:ind w:leftChars="0" w:left="0" w:right="0"/>
              <w:keepNext/>
            </w:pPr>
            <w:r>
              <w:t>3.145</w:t>
            </w:r>
          </w:p>
        </w:tc>
        <w:tc>
          <w:tcPr>
            <w:cnfStyle w:evenVBand="true" w:oddVBand="false" w:firstColumn="false"/>
            <w:tcW w:w="11.434303%" w:type="pct"/>
          </w:tcPr>
          <w:p>
            <w:pPr>
              <w:pStyle w:val="table-level-0"/>
              <w:ind w:leftChars="0" w:left="0" w:right="0"/>
              <w:keepNext/>
            </w:pPr>
            <w:r>
              <w:t>2.975</w:t>
            </w:r>
          </w:p>
        </w:tc>
        <w:tc>
          <w:tcPr>
            <w:cnfStyle w:evenVBand="false" w:oddVBand="true" w:firstColumn="false"/>
            <w:tcW w:w="11.434303%" w:type="pct"/>
          </w:tcPr>
          <w:p>
            <w:pPr>
              <w:pStyle w:val="table-level-0"/>
              <w:ind w:leftChars="0" w:left="0" w:right="0"/>
              <w:keepNext/>
            </w:pPr>
            <w:r>
              <w:t>3.075</w:t>
            </w:r>
          </w:p>
        </w:tc>
        <w:tc>
          <w:tcPr>
            <w:cnfStyle w:evenVBand="true" w:oddVBand="false" w:firstColumn="false"/>
            <w:tcW w:w="11.434303%" w:type="pct"/>
          </w:tcPr>
          <w:p>
            <w:pPr>
              <w:pStyle w:val="table-level-0"/>
              <w:ind w:leftChars="0" w:left="0" w:right="0"/>
              <w:keepNext/>
            </w:pPr>
            <w:r>
              <w:t>3.020</w:t>
            </w:r>
          </w:p>
        </w:tc>
        <w:tc>
          <w:tcPr>
            <w:cnfStyle w:evenVBand="false" w:oddVBand="true" w:firstColumn="false"/>
            <w:tcW w:w="11.434303%" w:type="pct"/>
          </w:tcPr>
          <w:p>
            <w:pPr>
              <w:pStyle w:val="table-level-0"/>
              <w:ind w:leftChars="0" w:left="0" w:right="0"/>
              <w:keepNext/>
            </w:pPr>
            <w:r>
              <w:t>2.920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ca5f6641fe81ec8c8f8198664848aad">
              <w:r>
                <w:rPr>
                  <w:rStyle w:val="Hyperlink"/>
                </w:rPr>
                <w:t>Debiti finanziari v/altri</w:t>
              </w:r>
            </w:hyperlink>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55,8</w:t>
            </w:r>
          </w:p>
        </w:tc>
        <w:tc>
          <w:tcPr>
            <w:cnfStyle w:evenVBand="false" w:oddVBand="true" w:firstColumn="false"/>
            <w:tcW w:w="11.434303%" w:type="pct"/>
          </w:tcPr>
          <w:p>
            <w:pPr>
              <w:pStyle w:val="table-level-0"/>
              <w:ind w:leftChars="0" w:left="0" w:right="0"/>
              <w:keepNext/>
            </w:pPr>
            <w:r>
              <w:t>56,6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Finanziamenti soci fruttiferi</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20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84881c8879e57c1dbfc0e0e1264c6459">
              <w:r>
                <w:rPr>
                  <w:rStyle w:val="Hyperlink"/>
                </w:rPr>
                <w:t>Finanziamenti soci infruttiferi</w:t>
              </w:r>
            </w:hyperlink>
          </w:p>
        </w:tc>
        <w:tc>
          <w:tcPr>
            <w:cnfStyle w:evenVBand="true" w:oddVBand="false" w:firstColumn="false"/>
            <w:tcW w:w="11.434303%" w:type="pct"/>
          </w:tcPr>
          <w:p>
            <w:pPr>
              <w:pStyle w:val="table-level-1"/>
              <w:ind w:leftChars="0" w:left="0" w:right="0"/>
              <w:keepNext/>
            </w:pPr>
            <w:r>
              <w:t>70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100</w:t>
            </w:r>
          </w:p>
        </w:tc>
        <w:tc>
          <w:tcPr>
            <w:cnfStyle w:evenVBand="true" w:oddVBand="false" w:firstColumn="false"/>
            <w:tcW w:w="11.434303%" w:type="pct"/>
          </w:tcPr>
          <w:p>
            <w:pPr>
              <w:pStyle w:val="table-level-1"/>
              <w:ind w:leftChars="0" w:left="0" w:right="0"/>
              <w:keepNext/>
            </w:pPr>
            <w:r>
              <w:t>110</w:t>
            </w:r>
          </w:p>
        </w:tc>
        <w:tc>
          <w:tcPr>
            <w:cnfStyle w:evenVBand="false" w:oddVBand="true" w:firstColumn="false"/>
            <w:tcW w:w="11.434303%" w:type="pct"/>
          </w:tcPr>
          <w:p>
            <w:pPr>
              <w:pStyle w:val="table-level-1"/>
              <w:ind w:leftChars="0" w:left="0" w:right="0"/>
              <w:keepNext/>
            </w:pPr>
            <w:r>
              <w:t>120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20109696b1aea37c68fc603920a1c07">
              <w:r>
                <w:rPr>
                  <w:rStyle w:val="Hyperlink"/>
                </w:rPr>
                <w:t>Attivo finanziario corrente</w:t>
              </w:r>
            </w:hyperlink>
          </w:p>
        </w:tc>
        <w:tc>
          <w:tcPr>
            <w:cnfStyle w:evenVBand="true" w:oddVBand="false" w:firstColumn="false"/>
            <w:tcW w:w="11.434303%" w:type="pct"/>
          </w:tcPr>
          <w:p>
            <w:pPr>
              <w:pStyle w:val="table-level-1"/>
              <w:ind w:leftChars="0" w:left="0" w:right="0"/>
              <w:keepNext/>
            </w:pPr>
            <w:r>
              <w:t>-1.442</w:t>
            </w:r>
          </w:p>
        </w:tc>
        <w:tc>
          <w:tcPr>
            <w:cnfStyle w:evenVBand="false" w:oddVBand="true" w:firstColumn="false"/>
            <w:tcW w:w="11.434303%" w:type="pct"/>
          </w:tcPr>
          <w:p>
            <w:pPr>
              <w:pStyle w:val="table-level-1"/>
              <w:ind w:leftChars="0" w:left="0" w:right="0"/>
              <w:keepNext/>
            </w:pPr>
            <w:r>
              <w:t>-270</w:t>
            </w:r>
          </w:p>
        </w:tc>
        <w:tc>
          <w:tcPr>
            <w:cnfStyle w:evenVBand="true" w:oddVBand="false" w:firstColumn="false"/>
            <w:tcW w:w="11.434303%" w:type="pct"/>
          </w:tcPr>
          <w:p>
            <w:pPr>
              <w:pStyle w:val="table-level-1"/>
              <w:ind w:leftChars="0" w:left="0" w:right="0"/>
              <w:keepNext/>
            </w:pPr>
            <w:r>
              <w:t>-481,4</w:t>
            </w:r>
          </w:p>
        </w:tc>
        <w:tc>
          <w:tcPr>
            <w:cnfStyle w:evenVBand="false" w:oddVBand="true" w:firstColumn="false"/>
            <w:tcW w:w="11.434303%" w:type="pct"/>
          </w:tcPr>
          <w:p>
            <w:pPr>
              <w:pStyle w:val="table-level-1"/>
              <w:ind w:leftChars="0" w:left="0" w:right="0"/>
              <w:keepNext/>
            </w:pPr>
            <w:r>
              <w:t>-529,8</w:t>
            </w:r>
          </w:p>
        </w:tc>
        <w:tc>
          <w:tcPr>
            <w:cnfStyle w:evenVBand="true" w:oddVBand="false" w:firstColumn="false"/>
            <w:tcW w:w="11.434303%" w:type="pct"/>
          </w:tcPr>
          <w:p>
            <w:pPr>
              <w:pStyle w:val="table-level-1"/>
              <w:ind w:leftChars="0" w:left="0" w:right="0"/>
              <w:keepNext/>
            </w:pPr>
            <w:r>
              <w:t>-717,7</w:t>
            </w:r>
          </w:p>
        </w:tc>
        <w:tc>
          <w:tcPr>
            <w:cnfStyle w:evenVBand="false" w:oddVBand="true" w:firstColumn="false"/>
            <w:tcW w:w="11.434303%" w:type="pct"/>
          </w:tcPr>
          <w:p>
            <w:pPr>
              <w:pStyle w:val="table-level-1"/>
              <w:ind w:leftChars="0" w:left="0" w:right="0"/>
              <w:keepNext/>
            </w:pPr>
            <w:r>
              <w:t>-1.067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46af2b6171a2d7673e59b5fd1b746344">
              <w:r>
                <w:rPr>
                  <w:rStyle w:val="Hyperlink"/>
                </w:rPr>
                <w:t>Att. finanz. non immobilizzate</w:t>
              </w:r>
            </w:hyperlink>
          </w:p>
        </w:tc>
        <w:tc>
          <w:tcPr>
            <w:cnfStyle w:evenVBand="true" w:oddVBand="false" w:firstColumn="false"/>
            <w:tcW w:w="11.434303%" w:type="pct"/>
          </w:tcPr>
          <w:p>
            <w:pPr>
              <w:pStyle w:val="table-level-0"/>
              <w:ind w:leftChars="0" w:left="0" w:right="0"/>
              <w:keepNext/>
            </w:pPr>
            <w:r>
              <w:t>-2,75</w:t>
            </w:r>
          </w:p>
        </w:tc>
        <w:tc>
          <w:tcPr>
            <w:cnfStyle w:evenVBand="false" w:oddVBand="true" w:firstColumn="false"/>
            <w:tcW w:w="11.434303%" w:type="pct"/>
          </w:tcPr>
          <w:p>
            <w:pPr>
              <w:pStyle w:val="table-level-0"/>
              <w:ind w:leftChars="0" w:left="0" w:right="0"/>
              <w:keepNext/>
            </w:pPr>
            <w:r>
              <w:t>-2,55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5296e0879f0a7b859fdf2193a9d7f5f7">
              <w:r>
                <w:rPr>
                  <w:rStyle w:val="Hyperlink"/>
                </w:rPr>
                <w:t>Disponibilità liquide</w:t>
              </w:r>
            </w:hyperlink>
          </w:p>
        </w:tc>
        <w:tc>
          <w:tcPr>
            <w:cnfStyle w:evenVBand="true" w:oddVBand="false" w:firstColumn="false"/>
            <w:tcW w:w="11.434303%" w:type="pct"/>
          </w:tcPr>
          <w:p>
            <w:pPr>
              <w:pStyle w:val="table-level-0"/>
              <w:ind w:leftChars="0" w:left="0" w:right="0"/>
              <w:keepNext/>
            </w:pPr>
            <w:r>
              <w:t>-1.439</w:t>
            </w:r>
          </w:p>
        </w:tc>
        <w:tc>
          <w:tcPr>
            <w:cnfStyle w:evenVBand="false" w:oddVBand="true" w:firstColumn="false"/>
            <w:tcW w:w="11.434303%" w:type="pct"/>
          </w:tcPr>
          <w:p>
            <w:pPr>
              <w:pStyle w:val="table-level-0"/>
              <w:ind w:leftChars="0" w:left="0" w:right="0"/>
              <w:keepNext/>
            </w:pPr>
            <w:r>
              <w:t>-267,4</w:t>
            </w:r>
          </w:p>
        </w:tc>
        <w:tc>
          <w:tcPr>
            <w:cnfStyle w:evenVBand="true" w:oddVBand="false" w:firstColumn="false"/>
            <w:tcW w:w="11.434303%" w:type="pct"/>
          </w:tcPr>
          <w:p>
            <w:pPr>
              <w:pStyle w:val="table-level-0"/>
              <w:ind w:leftChars="0" w:left="0" w:right="0"/>
              <w:keepNext/>
            </w:pPr>
            <w:r>
              <w:t>-478,9</w:t>
            </w:r>
          </w:p>
        </w:tc>
        <w:tc>
          <w:tcPr>
            <w:cnfStyle w:evenVBand="false" w:oddVBand="true" w:firstColumn="false"/>
            <w:tcW w:w="11.434303%" w:type="pct"/>
          </w:tcPr>
          <w:p>
            <w:pPr>
              <w:pStyle w:val="table-level-0"/>
              <w:ind w:leftChars="0" w:left="0" w:right="0"/>
              <w:keepNext/>
            </w:pPr>
            <w:r>
              <w:t>-527,3</w:t>
            </w:r>
          </w:p>
        </w:tc>
        <w:tc>
          <w:tcPr>
            <w:cnfStyle w:evenVBand="true" w:oddVBand="false" w:firstColumn="false"/>
            <w:tcW w:w="11.434303%" w:type="pct"/>
          </w:tcPr>
          <w:p>
            <w:pPr>
              <w:pStyle w:val="table-level-0"/>
              <w:ind w:leftChars="0" w:left="0" w:right="0"/>
              <w:keepNext/>
            </w:pPr>
            <w:r>
              <w:t>-716,7</w:t>
            </w:r>
          </w:p>
        </w:tc>
        <w:tc>
          <w:tcPr>
            <w:cnfStyle w:evenVBand="false" w:oddVBand="true" w:firstColumn="false"/>
            <w:tcW w:w="11.434303%" w:type="pct"/>
          </w:tcPr>
          <w:p>
            <w:pPr>
              <w:pStyle w:val="table-level-0"/>
              <w:ind w:leftChars="0" w:left="0" w:right="0"/>
              <w:keepNext/>
            </w:pPr>
            <w:r>
              <w:t>-1.059</w:t>
            </w:r>
          </w:p>
        </w:tc>
      </w:tr>
    </w:tbl>
    <w:p>
      <w:pPr>
        <w:pStyle w:val="TableBottomMargin"/>
      </w:pPr>
    </w:p>
    <w:br w:type="page"/>
    <w:bookmarkStart w:id="475" w:name="_4790a10ffdebff84ea378be1df8e7e80"/>
    <w:bookmarkStart w:id="476" w:name="_29ebf1d81f2de461da116e1be0058ae3"/>
    <w:p>
      <w:pPr>
        <w:pStyle w:val="Heading2"/>
        <w:keepNext/>
      </w:pPr>
      <w:r>
        <w:t>Capitale investito netto</w:t>
      </w:r>
    </w:p>
    <w:p>
      <w:pPr>
        <w:pStyle w:val="BodyText"/>
        <w:ind w:leftChars="0" w:left="0" w:right="0"/>
      </w:pPr>
      <w:r>
        <w:t xml:space="preserve">La presente sottosezione dello </w:t>
      </w:r>
      <w:hyperlink w:anchor="_0182f955a1ffe9276ea59ee7f58d0cb6">
        <w:r>
          <w:rPr>
            <w:rStyle w:val="Hyperlink"/>
          </w:rPr>
          <w:t>Stato Patrimoniale</w:t>
        </w:r>
      </w:hyperlink>
      <w:r>
        <w:t xml:space="preserve"> è dedicata al Capitale investito netto. Questo rappresenta la differenza tra attività e passività operative. Misura il capitale investito nella gestione operativa.</w:t>
      </w:r>
    </w:p>
    <w:p>
      <w:pPr>
        <w:pStyle w:val="BodyText"/>
        <w:ind w:leftChars="0" w:left="0" w:right="0"/>
      </w:pPr>
      <w:r>
        <w:t xml:space="preserve">Il prospetto seguente illustra il dettaglio analitico del </w:t>
      </w:r>
      <w:r>
        <w:rPr>
          <w:i/>
          <w:iCs/>
        </w:rPr>
        <w:t>Capitale investito netto</w:t>
      </w:r>
      <w:r>
        <w:t xml:space="preserve"> della </w:t>
      </w:r>
      <w:r>
        <w:rPr>
          <w:i/>
          <w:iCs/>
        </w:rPr>
        <w:t>Società</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29ebf1d81f2de461da116e1be0058ae3">
              <w:r>
                <w:rPr>
                  <w:rStyle w:val="Hyperlink"/>
                </w:rPr>
                <w:t>Capitale investito netto</w:t>
              </w:r>
            </w:hyperlink>
          </w:p>
        </w:tc>
        <w:tc>
          <w:tcPr>
            <w:cnfStyle w:evenVBand="true" w:oddVBand="false" w:firstColumn="false"/>
            <w:tcW w:w="11.434303%" w:type="pct"/>
          </w:tcPr>
          <w:p>
            <w:pPr>
              <w:pStyle w:val="table-level-1"/>
              <w:ind w:leftChars="0" w:left="0" w:right="0"/>
              <w:keepNext/>
            </w:pPr>
            <w:r>
              <w:t>7.007</w:t>
            </w:r>
          </w:p>
        </w:tc>
        <w:tc>
          <w:tcPr>
            <w:cnfStyle w:evenVBand="false" w:oddVBand="true" w:firstColumn="false"/>
            <w:tcW w:w="11.434303%" w:type="pct"/>
          </w:tcPr>
          <w:p>
            <w:pPr>
              <w:pStyle w:val="table-level-1"/>
              <w:ind w:leftChars="0" w:left="0" w:right="0"/>
              <w:keepNext/>
            </w:pPr>
            <w:r>
              <w:t>6.343</w:t>
            </w:r>
          </w:p>
        </w:tc>
        <w:tc>
          <w:tcPr>
            <w:cnfStyle w:evenVBand="true" w:oddVBand="false" w:firstColumn="false"/>
            <w:tcW w:w="11.434303%" w:type="pct"/>
          </w:tcPr>
          <w:p>
            <w:pPr>
              <w:pStyle w:val="table-level-1"/>
              <w:ind w:leftChars="0" w:left="0" w:right="0"/>
              <w:keepNext/>
            </w:pPr>
            <w:r>
              <w:t>4.920</w:t>
            </w:r>
          </w:p>
        </w:tc>
        <w:tc>
          <w:tcPr>
            <w:cnfStyle w:evenVBand="false" w:oddVBand="true" w:firstColumn="false"/>
            <w:tcW w:w="11.434303%" w:type="pct"/>
          </w:tcPr>
          <w:p>
            <w:pPr>
              <w:pStyle w:val="table-level-1"/>
              <w:ind w:leftChars="0" w:left="0" w:right="0"/>
              <w:keepNext/>
            </w:pPr>
            <w:r>
              <w:t>4.555</w:t>
            </w:r>
          </w:p>
        </w:tc>
        <w:tc>
          <w:tcPr>
            <w:cnfStyle w:evenVBand="true" w:oddVBand="false" w:firstColumn="false"/>
            <w:tcW w:w="11.434303%" w:type="pct"/>
          </w:tcPr>
          <w:p>
            <w:pPr>
              <w:pStyle w:val="table-level-1"/>
              <w:ind w:leftChars="0" w:left="0" w:right="0"/>
              <w:keepNext/>
            </w:pPr>
            <w:r>
              <w:t>3.909</w:t>
            </w:r>
          </w:p>
        </w:tc>
        <w:tc>
          <w:tcPr>
            <w:cnfStyle w:evenVBand="false" w:oddVBand="true" w:firstColumn="false"/>
            <w:tcW w:w="11.434303%" w:type="pct"/>
          </w:tcPr>
          <w:p>
            <w:pPr>
              <w:pStyle w:val="table-level-1"/>
              <w:ind w:leftChars="0" w:left="0" w:right="0"/>
              <w:keepNext/>
            </w:pPr>
            <w:r>
              <w:t>3.629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1614ca74203022fc214f210368e7f8a7">
              <w:r>
                <w:rPr>
                  <w:rStyle w:val="Hyperlink"/>
                </w:rPr>
                <w:t>Attivo fisso netto</w:t>
              </w:r>
            </w:hyperlink>
          </w:p>
        </w:tc>
        <w:tc>
          <w:tcPr>
            <w:cnfStyle w:evenVBand="true" w:oddVBand="false" w:firstColumn="false"/>
            <w:tcW w:w="11.434303%" w:type="pct"/>
          </w:tcPr>
          <w:p>
            <w:pPr>
              <w:pStyle w:val="table-level-0"/>
              <w:ind w:leftChars="0" w:left="0" w:right="0"/>
              <w:keepNext/>
            </w:pPr>
            <w:r>
              <w:t>6.603</w:t>
            </w:r>
          </w:p>
        </w:tc>
        <w:tc>
          <w:tcPr>
            <w:cnfStyle w:evenVBand="false" w:oddVBand="true" w:firstColumn="false"/>
            <w:tcW w:w="11.434303%" w:type="pct"/>
          </w:tcPr>
          <w:p>
            <w:pPr>
              <w:pStyle w:val="table-level-0"/>
              <w:ind w:leftChars="0" w:left="0" w:right="0"/>
              <w:keepNext/>
            </w:pPr>
            <w:r>
              <w:t>5.911</w:t>
            </w:r>
          </w:p>
        </w:tc>
        <w:tc>
          <w:tcPr>
            <w:cnfStyle w:evenVBand="true" w:oddVBand="false" w:firstColumn="false"/>
            <w:tcW w:w="11.434303%" w:type="pct"/>
          </w:tcPr>
          <w:p>
            <w:pPr>
              <w:pStyle w:val="table-level-0"/>
              <w:ind w:leftChars="0" w:left="0" w:right="0"/>
              <w:keepNext/>
            </w:pPr>
            <w:r>
              <w:t>4.481</w:t>
            </w:r>
          </w:p>
        </w:tc>
        <w:tc>
          <w:tcPr>
            <w:cnfStyle w:evenVBand="false" w:oddVBand="true" w:firstColumn="false"/>
            <w:tcW w:w="11.434303%" w:type="pct"/>
          </w:tcPr>
          <w:p>
            <w:pPr>
              <w:pStyle w:val="table-level-0"/>
              <w:ind w:leftChars="0" w:left="0" w:right="0"/>
              <w:keepNext/>
            </w:pPr>
            <w:r>
              <w:t>4.285</w:t>
            </w:r>
          </w:p>
        </w:tc>
        <w:tc>
          <w:tcPr>
            <w:cnfStyle w:evenVBand="true" w:oddVBand="false" w:firstColumn="false"/>
            <w:tcW w:w="11.434303%" w:type="pct"/>
          </w:tcPr>
          <w:p>
            <w:pPr>
              <w:pStyle w:val="table-level-0"/>
              <w:ind w:leftChars="0" w:left="0" w:right="0"/>
              <w:keepNext/>
            </w:pPr>
            <w:r>
              <w:t>3.632</w:t>
            </w:r>
          </w:p>
        </w:tc>
        <w:tc>
          <w:tcPr>
            <w:cnfStyle w:evenVBand="false" w:oddVBand="true" w:firstColumn="false"/>
            <w:tcW w:w="11.434303%" w:type="pct"/>
          </w:tcPr>
          <w:p>
            <w:pPr>
              <w:pStyle w:val="table-level-0"/>
              <w:ind w:leftChars="0" w:left="0" w:right="0"/>
              <w:keepNext/>
            </w:pPr>
            <w:r>
              <w:t>3.079</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c281ee36b8fd5cc7495ba1bc9c8cc356">
              <w:r>
                <w:rPr>
                  <w:rStyle w:val="Hyperlink"/>
                </w:rPr>
                <w:t>Capitale circolante netto</w:t>
              </w:r>
            </w:hyperlink>
          </w:p>
        </w:tc>
        <w:tc>
          <w:tcPr>
            <w:cnfStyle w:evenVBand="true" w:oddVBand="false" w:firstColumn="false"/>
            <w:tcW w:w="11.434303%" w:type="pct"/>
          </w:tcPr>
          <w:p>
            <w:pPr>
              <w:pStyle w:val="table-level-0"/>
              <w:ind w:leftChars="0" w:left="0" w:right="0"/>
              <w:keepNext/>
            </w:pPr>
            <w:r>
              <w:t>404,4</w:t>
            </w:r>
          </w:p>
        </w:tc>
        <w:tc>
          <w:tcPr>
            <w:cnfStyle w:evenVBand="false" w:oddVBand="true" w:firstColumn="false"/>
            <w:tcW w:w="11.434303%" w:type="pct"/>
          </w:tcPr>
          <w:p>
            <w:pPr>
              <w:pStyle w:val="table-level-0"/>
              <w:ind w:leftChars="0" w:left="0" w:right="0"/>
              <w:keepNext/>
            </w:pPr>
            <w:r>
              <w:t>431,9</w:t>
            </w:r>
          </w:p>
        </w:tc>
        <w:tc>
          <w:tcPr>
            <w:cnfStyle w:evenVBand="true" w:oddVBand="false" w:firstColumn="false"/>
            <w:tcW w:w="11.434303%" w:type="pct"/>
          </w:tcPr>
          <w:p>
            <w:pPr>
              <w:pStyle w:val="table-level-0"/>
              <w:ind w:leftChars="0" w:left="0" w:right="0"/>
              <w:keepNext/>
            </w:pPr>
            <w:r>
              <w:t>439,2</w:t>
            </w:r>
          </w:p>
        </w:tc>
        <w:tc>
          <w:tcPr>
            <w:cnfStyle w:evenVBand="false" w:oddVBand="true" w:firstColumn="false"/>
            <w:tcW w:w="11.434303%" w:type="pct"/>
          </w:tcPr>
          <w:p>
            <w:pPr>
              <w:pStyle w:val="table-level-0"/>
              <w:ind w:leftChars="0" w:left="0" w:right="0"/>
              <w:keepNext/>
            </w:pPr>
            <w:r>
              <w:t>269,8</w:t>
            </w:r>
          </w:p>
        </w:tc>
        <w:tc>
          <w:tcPr>
            <w:cnfStyle w:evenVBand="true" w:oddVBand="false" w:firstColumn="false"/>
            <w:tcW w:w="11.434303%" w:type="pct"/>
          </w:tcPr>
          <w:p>
            <w:pPr>
              <w:pStyle w:val="table-level-0"/>
              <w:ind w:leftChars="0" w:left="0" w:right="0"/>
              <w:keepNext/>
            </w:pPr>
            <w:r>
              <w:t>277,6</w:t>
            </w:r>
          </w:p>
        </w:tc>
        <w:tc>
          <w:tcPr>
            <w:cnfStyle w:evenVBand="false" w:oddVBand="true" w:firstColumn="false"/>
            <w:tcW w:w="11.434303%" w:type="pct"/>
          </w:tcPr>
          <w:p>
            <w:pPr>
              <w:pStyle w:val="table-level-0"/>
              <w:ind w:leftChars="0" w:left="0" w:right="0"/>
              <w:keepNext/>
            </w:pPr>
            <w:r>
              <w:t>550</w:t>
            </w:r>
          </w:p>
        </w:tc>
      </w:tr>
    </w:tbl>
    <w:p>
      <w:pPr>
        <w:pStyle w:val="TableBottomMargin"/>
      </w:pPr>
    </w:p>
    <w:p>
      <w:pPr>
        <w:pStyle w:val="BodyText"/>
        <w:ind w:leftChars="0" w:left="0" w:right="0"/>
      </w:pPr>
      <w:r>
        <w:t xml:space="preserve">Dal prospetto si evince che al 31 dicembre 2022 il valore del </w:t>
      </w:r>
      <w:r>
        <w:rPr>
          <w:i/>
          <w:iCs/>
        </w:rPr>
        <w:t>Capitale investito netto</w:t>
      </w:r>
      <w:r>
        <w:t xml:space="preserve"> è pari a € 7.007.053 ed è in crescita del 10% rispetto al 31 dicembre 2021.</w:t>
      </w:r>
    </w:p>
    <w:p>
      <w:pPr>
        <w:pStyle w:val="BodyText"/>
        <w:ind w:leftChars="0" w:left="0" w:right="0"/>
      </w:pPr>
      <w:r>
        <w:t xml:space="preserve">Il grafico seguente mostra l’analisi dell’andamento del </w:t>
      </w:r>
      <w:r>
        <w:rPr>
          <w:i/>
          <w:iCs/>
        </w:rPr>
        <w:t>Capitale investito netto</w:t>
      </w:r>
      <w:r>
        <w:t xml:space="preserve"> dal 31 dicembre 2017 al 31 dicembre 2022. Tale valore risulta in crescita del 93%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4" name="9bd4f79457eb0e4cf906be9b826d5d7e.png" descr="_static/temp/9bd4f79457eb0e4cf906be9b826d5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9bd4f79457eb0e4cf906be9b826d5d7e.png" descr="_static/temp/9bd4f79457eb0e4cf906be9b826d5d7e.png"/>
                    <pic:cNvPicPr>
                      <a:picLocks noChangeAspect="1" noChangeArrowheads="1"/>
                    </pic:cNvPicPr>
                  </pic:nvPicPr>
                  <pic:blipFill>
                    <a:blip xmlns:r="http://schemas.openxmlformats.org/officeDocument/2006/relationships" r:embed="rId27"/>
                    <a:srcRect/>
                    <a:stretch>
                      <a:fillRect/>
                    </a:stretch>
                  </pic:blipFill>
                  <pic:spPr bwMode="auto">
                    <a:xfrm>
                      <a:off x="0" y="0"/>
                      <a:ext cx="6476365" cy="3266766"/>
                    </a:xfrm>
                    <a:prstGeom prst="rect">
                      <a:avLst/>
                    </a:prstGeom>
                    <a:noFill/>
                  </pic:spPr>
                </pic:pic>
              </a:graphicData>
            </a:graphic>
          </wp:inline>
        </w:drawing>
      </w:r>
    </w:p>
    <w:bookmarkStart w:id="477" w:name="_16d0472836453c74f693b62631cdba97"/>
    <w:bookmarkStart w:id="478" w:name="_c281ee36b8fd5cc7495ba1bc9c8cc356"/>
    <w:p>
      <w:pPr>
        <w:pStyle w:val="Heading3"/>
        <w:keepNext/>
      </w:pPr>
      <w:r>
        <w:t>Capitale circolante netto operativo</w:t>
      </w:r>
    </w:p>
    <w:p>
      <w:pPr>
        <w:pStyle w:val="BodyText"/>
        <w:ind w:leftChars="0" w:left="0" w:right="0"/>
      </w:pPr>
      <w:r>
        <w:t xml:space="preserve">La presente sottosezione del </w:t>
      </w:r>
      <w:hyperlink w:anchor="_29ebf1d81f2de461da116e1be0058ae3">
        <w:r>
          <w:rPr>
            <w:rStyle w:val="Hyperlink"/>
          </w:rPr>
          <w:t>Capitale investito netto</w:t>
        </w:r>
      </w:hyperlink>
      <w:r>
        <w:t xml:space="preserve"> è dedicata al capitale circolante netto operativo. Questo rappresenta la differenza tra attività e passività correnti. Misura la capacità di un’impresa di estinguere le passività a breve termine attraverso il realizzo di attività a breve termine.</w:t>
      </w:r>
    </w:p>
    <w:p>
      <w:pPr>
        <w:pStyle w:val="BodyText"/>
        <w:ind w:leftChars="0" w:left="0" w:right="0"/>
      </w:pPr>
      <w:r>
        <w:t xml:space="preserve">Il prospetto seguente illustra il dettaglio analitico della voce </w:t>
      </w:r>
      <w:r>
        <w:rPr>
          <w:i/>
          <w:iCs/>
        </w:rPr>
        <w:t>Capitale circolante netto operativo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281ee36b8fd5cc7495ba1bc9c8cc356">
              <w:r>
                <w:rPr>
                  <w:rStyle w:val="Hyperlink"/>
                </w:rPr>
                <w:t>Capitale circolante netto</w:t>
              </w:r>
            </w:hyperlink>
          </w:p>
        </w:tc>
        <w:tc>
          <w:tcPr>
            <w:cnfStyle w:evenVBand="true" w:oddVBand="false" w:firstColumn="false"/>
            <w:tcW w:w="11.434303%" w:type="pct"/>
          </w:tcPr>
          <w:p>
            <w:pPr>
              <w:pStyle w:val="table-level-1"/>
              <w:ind w:leftChars="0" w:left="0" w:right="0"/>
              <w:keepNext/>
            </w:pPr>
            <w:r>
              <w:t>404,4</w:t>
            </w:r>
          </w:p>
        </w:tc>
        <w:tc>
          <w:tcPr>
            <w:cnfStyle w:evenVBand="false" w:oddVBand="true" w:firstColumn="false"/>
            <w:tcW w:w="11.434303%" w:type="pct"/>
          </w:tcPr>
          <w:p>
            <w:pPr>
              <w:pStyle w:val="table-level-1"/>
              <w:ind w:leftChars="0" w:left="0" w:right="0"/>
              <w:keepNext/>
            </w:pPr>
            <w:r>
              <w:t>431,9</w:t>
            </w:r>
          </w:p>
        </w:tc>
        <w:tc>
          <w:tcPr>
            <w:cnfStyle w:evenVBand="true" w:oddVBand="false" w:firstColumn="false"/>
            <w:tcW w:w="11.434303%" w:type="pct"/>
          </w:tcPr>
          <w:p>
            <w:pPr>
              <w:pStyle w:val="table-level-1"/>
              <w:ind w:leftChars="0" w:left="0" w:right="0"/>
              <w:keepNext/>
            </w:pPr>
            <w:r>
              <w:t>439,2</w:t>
            </w:r>
          </w:p>
        </w:tc>
        <w:tc>
          <w:tcPr>
            <w:cnfStyle w:evenVBand="false" w:oddVBand="true" w:firstColumn="false"/>
            <w:tcW w:w="11.434303%" w:type="pct"/>
          </w:tcPr>
          <w:p>
            <w:pPr>
              <w:pStyle w:val="table-level-1"/>
              <w:ind w:leftChars="0" w:left="0" w:right="0"/>
              <w:keepNext/>
            </w:pPr>
            <w:r>
              <w:t>269,8</w:t>
            </w:r>
          </w:p>
        </w:tc>
        <w:tc>
          <w:tcPr>
            <w:cnfStyle w:evenVBand="true" w:oddVBand="false" w:firstColumn="false"/>
            <w:tcW w:w="11.434303%" w:type="pct"/>
          </w:tcPr>
          <w:p>
            <w:pPr>
              <w:pStyle w:val="table-level-1"/>
              <w:ind w:leftChars="0" w:left="0" w:right="0"/>
              <w:keepNext/>
            </w:pPr>
            <w:r>
              <w:t>277,6</w:t>
            </w:r>
          </w:p>
        </w:tc>
        <w:tc>
          <w:tcPr>
            <w:cnfStyle w:evenVBand="false" w:oddVBand="true" w:firstColumn="false"/>
            <w:tcW w:w="11.434303%" w:type="pct"/>
          </w:tcPr>
          <w:p>
            <w:pPr>
              <w:pStyle w:val="table-level-1"/>
              <w:ind w:leftChars="0" w:left="0" w:right="0"/>
              <w:keepNext/>
            </w:pPr>
            <w:r>
              <w:t>550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6576c980ee5bb496b2a04f7cdbfa80a3">
              <w:r>
                <w:rPr>
                  <w:rStyle w:val="Hyperlink"/>
                </w:rPr>
                <w:t>Capitale circolante commerciale</w:t>
              </w:r>
            </w:hyperlink>
          </w:p>
        </w:tc>
        <w:tc>
          <w:tcPr>
            <w:cnfStyle w:evenVBand="true" w:oddVBand="false" w:firstColumn="false"/>
            <w:tcW w:w="11.434303%" w:type="pct"/>
          </w:tcPr>
          <w:p>
            <w:pPr>
              <w:pStyle w:val="table-level-0"/>
              <w:ind w:leftChars="0" w:left="0" w:right="0"/>
              <w:keepNext/>
            </w:pPr>
            <w:r>
              <w:t>618,4</w:t>
            </w:r>
          </w:p>
        </w:tc>
        <w:tc>
          <w:tcPr>
            <w:cnfStyle w:evenVBand="false" w:oddVBand="true" w:firstColumn="false"/>
            <w:tcW w:w="11.434303%" w:type="pct"/>
          </w:tcPr>
          <w:p>
            <w:pPr>
              <w:pStyle w:val="table-level-0"/>
              <w:ind w:leftChars="0" w:left="0" w:right="0"/>
              <w:keepNext/>
            </w:pPr>
            <w:r>
              <w:t>627,8</w:t>
            </w:r>
          </w:p>
        </w:tc>
        <w:tc>
          <w:tcPr>
            <w:cnfStyle w:evenVBand="true" w:oddVBand="false" w:firstColumn="false"/>
            <w:tcW w:w="11.434303%" w:type="pct"/>
          </w:tcPr>
          <w:p>
            <w:pPr>
              <w:pStyle w:val="table-level-0"/>
              <w:ind w:leftChars="0" w:left="0" w:right="0"/>
              <w:keepNext/>
            </w:pPr>
            <w:r>
              <w:t>570,6</w:t>
            </w:r>
          </w:p>
        </w:tc>
        <w:tc>
          <w:tcPr>
            <w:cnfStyle w:evenVBand="false" w:oddVBand="true" w:firstColumn="false"/>
            <w:tcW w:w="11.434303%" w:type="pct"/>
          </w:tcPr>
          <w:p>
            <w:pPr>
              <w:pStyle w:val="table-level-0"/>
              <w:ind w:leftChars="0" w:left="0" w:right="0"/>
              <w:keepNext/>
            </w:pPr>
            <w:r>
              <w:t>366,8</w:t>
            </w:r>
          </w:p>
        </w:tc>
        <w:tc>
          <w:tcPr>
            <w:cnfStyle w:evenVBand="true" w:oddVBand="false" w:firstColumn="false"/>
            <w:tcW w:w="11.434303%" w:type="pct"/>
          </w:tcPr>
          <w:p>
            <w:pPr>
              <w:pStyle w:val="table-level-0"/>
              <w:ind w:leftChars="0" w:left="0" w:right="0"/>
              <w:keepNext/>
            </w:pPr>
            <w:r>
              <w:t>394,8</w:t>
            </w:r>
          </w:p>
        </w:tc>
        <w:tc>
          <w:tcPr>
            <w:cnfStyle w:evenVBand="false" w:oddVBand="true" w:firstColumn="false"/>
            <w:tcW w:w="11.434303%" w:type="pct"/>
          </w:tcPr>
          <w:p>
            <w:pPr>
              <w:pStyle w:val="table-level-0"/>
              <w:ind w:leftChars="0" w:left="0" w:right="0"/>
              <w:keepNext/>
            </w:pPr>
            <w:r>
              <w:t>656,8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e4497fa2566b5a730f0e896f0313f87f">
              <w:r>
                <w:rPr>
                  <w:rStyle w:val="Hyperlink"/>
                </w:rPr>
                <w:t>Crediti/debiti infragruppo</w:t>
              </w:r>
            </w:hyperlink>
          </w:p>
        </w:tc>
        <w:tc>
          <w:tcPr>
            <w:cnfStyle w:evenVBand="true" w:oddVBand="false" w:firstColumn="false"/>
            <w:tcW w:w="11.434303%" w:type="pct"/>
          </w:tcPr>
          <w:p>
            <w:pPr>
              <w:pStyle w:val="table-level-0"/>
              <w:ind w:leftChars="0" w:left="0" w:right="0"/>
              <w:keepNext/>
            </w:pPr>
            <w:r>
              <w:t>-9,2</w:t>
            </w:r>
          </w:p>
        </w:tc>
        <w:tc>
          <w:tcPr>
            <w:cnfStyle w:evenVBand="false" w:oddVBand="true" w:firstColumn="false"/>
            <w:tcW w:w="11.434303%" w:type="pct"/>
          </w:tcPr>
          <w:p>
            <w:pPr>
              <w:pStyle w:val="table-level-0"/>
              <w:ind w:leftChars="0" w:left="0" w:right="0"/>
              <w:keepNext/>
            </w:pPr>
            <w:r>
              <w:t>-5,7</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11,1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ed34e9d3f60f819748e342a0474f0b6e">
              <w:r>
                <w:rPr>
                  <w:rStyle w:val="Hyperlink"/>
                </w:rPr>
                <w:t>Crediti/debiti tributari</w:t>
              </w:r>
            </w:hyperlink>
          </w:p>
        </w:tc>
        <w:tc>
          <w:tcPr>
            <w:cnfStyle w:evenVBand="true" w:oddVBand="false" w:firstColumn="false"/>
            <w:tcW w:w="11.434303%" w:type="pct"/>
          </w:tcPr>
          <w:p>
            <w:pPr>
              <w:pStyle w:val="table-level-0"/>
              <w:ind w:leftChars="0" w:left="0" w:right="0"/>
              <w:keepNext/>
            </w:pPr>
            <w:r>
              <w:t>-66,3</w:t>
            </w:r>
          </w:p>
        </w:tc>
        <w:tc>
          <w:tcPr>
            <w:cnfStyle w:evenVBand="false" w:oddVBand="true" w:firstColumn="false"/>
            <w:tcW w:w="11.434303%" w:type="pct"/>
          </w:tcPr>
          <w:p>
            <w:pPr>
              <w:pStyle w:val="table-level-0"/>
              <w:ind w:leftChars="0" w:left="0" w:right="0"/>
              <w:keepNext/>
            </w:pPr>
            <w:r>
              <w:t>-65,5</w:t>
            </w:r>
          </w:p>
        </w:tc>
        <w:tc>
          <w:tcPr>
            <w:cnfStyle w:evenVBand="true" w:oddVBand="false" w:firstColumn="false"/>
            <w:tcW w:w="11.434303%" w:type="pct"/>
          </w:tcPr>
          <w:p>
            <w:pPr>
              <w:pStyle w:val="table-level-0"/>
              <w:ind w:leftChars="0" w:left="0" w:right="0"/>
              <w:keepNext/>
            </w:pPr>
            <w:r>
              <w:t>-45,2</w:t>
            </w:r>
          </w:p>
        </w:tc>
        <w:tc>
          <w:tcPr>
            <w:cnfStyle w:evenVBand="false" w:oddVBand="true" w:firstColumn="false"/>
            <w:tcW w:w="11.434303%" w:type="pct"/>
          </w:tcPr>
          <w:p>
            <w:pPr>
              <w:pStyle w:val="table-level-0"/>
              <w:ind w:leftChars="0" w:left="0" w:right="0"/>
              <w:keepNext/>
            </w:pPr>
            <w:r>
              <w:t>-22,9</w:t>
            </w:r>
          </w:p>
        </w:tc>
        <w:tc>
          <w:tcPr>
            <w:cnfStyle w:evenVBand="true" w:oddVBand="false" w:firstColumn="false"/>
            <w:tcW w:w="11.434303%" w:type="pct"/>
          </w:tcPr>
          <w:p>
            <w:pPr>
              <w:pStyle w:val="table-level-0"/>
              <w:ind w:leftChars="0" w:left="0" w:right="0"/>
              <w:keepNext/>
            </w:pPr>
            <w:r>
              <w:t>-22,6</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4d7db17b91becfb861d08fd3341e2127">
              <w:r>
                <w:rPr>
                  <w:rStyle w:val="Hyperlink"/>
                </w:rPr>
                <w:t>Crediti/debiti diversi</w:t>
              </w:r>
            </w:hyperlink>
          </w:p>
        </w:tc>
        <w:tc>
          <w:tcPr>
            <w:cnfStyle w:evenVBand="true" w:oddVBand="false" w:firstColumn="false"/>
            <w:tcW w:w="11.434303%" w:type="pct"/>
          </w:tcPr>
          <w:p>
            <w:pPr>
              <w:pStyle w:val="table-level-0"/>
              <w:ind w:leftChars="0" w:left="0" w:right="0"/>
              <w:keepNext/>
            </w:pPr>
            <w:r>
              <w:t>-146</w:t>
            </w:r>
          </w:p>
        </w:tc>
        <w:tc>
          <w:tcPr>
            <w:cnfStyle w:evenVBand="false" w:oddVBand="true" w:firstColumn="false"/>
            <w:tcW w:w="11.434303%" w:type="pct"/>
          </w:tcPr>
          <w:p>
            <w:pPr>
              <w:pStyle w:val="table-level-0"/>
              <w:ind w:leftChars="0" w:left="0" w:right="0"/>
              <w:keepNext/>
            </w:pPr>
            <w:r>
              <w:t>-127,5</w:t>
            </w:r>
          </w:p>
        </w:tc>
        <w:tc>
          <w:tcPr>
            <w:cnfStyle w:evenVBand="true" w:oddVBand="false" w:firstColumn="false"/>
            <w:tcW w:w="11.434303%" w:type="pct"/>
          </w:tcPr>
          <w:p>
            <w:pPr>
              <w:pStyle w:val="table-level-0"/>
              <w:ind w:leftChars="0" w:left="0" w:right="0"/>
              <w:keepNext/>
            </w:pPr>
            <w:r>
              <w:t>-84,5</w:t>
            </w:r>
          </w:p>
        </w:tc>
        <w:tc>
          <w:tcPr>
            <w:cnfStyle w:evenVBand="false" w:oddVBand="true" w:firstColumn="false"/>
            <w:tcW w:w="11.434303%" w:type="pct"/>
          </w:tcPr>
          <w:p>
            <w:pPr>
              <w:pStyle w:val="table-level-0"/>
              <w:ind w:leftChars="0" w:left="0" w:right="0"/>
              <w:keepNext/>
            </w:pPr>
            <w:r>
              <w:t>-70,5</w:t>
            </w:r>
          </w:p>
        </w:tc>
        <w:tc>
          <w:tcPr>
            <w:cnfStyle w:evenVBand="true" w:oddVBand="false" w:firstColumn="false"/>
            <w:tcW w:w="11.434303%" w:type="pct"/>
          </w:tcPr>
          <w:p>
            <w:pPr>
              <w:pStyle w:val="table-level-0"/>
              <w:ind w:leftChars="0" w:left="0" w:right="0"/>
              <w:keepNext/>
            </w:pPr>
            <w:r>
              <w:t>-92,3</w:t>
            </w:r>
          </w:p>
        </w:tc>
        <w:tc>
          <w:tcPr>
            <w:cnfStyle w:evenVBand="false" w:oddVBand="true" w:firstColumn="false"/>
            <w:tcW w:w="11.434303%" w:type="pct"/>
          </w:tcPr>
          <w:p>
            <w:pPr>
              <w:pStyle w:val="table-level-0"/>
              <w:ind w:leftChars="0" w:left="0" w:right="0"/>
              <w:keepNext/>
            </w:pPr>
            <w:r>
              <w:t>-113,9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042bf0b8168c57fbf98d0e5f1275aebf">
              <w:r>
                <w:rPr>
                  <w:rStyle w:val="Hyperlink"/>
                </w:rPr>
                <w:t>Ratei e risconti netti</w:t>
              </w:r>
            </w:hyperlink>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-2,2</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-7,7</w:t>
            </w:r>
          </w:p>
        </w:tc>
        <w:tc>
          <w:tcPr>
            <w:cnfStyle w:evenVBand="false" w:oddVBand="true" w:firstColumn="false"/>
            <w:tcW w:w="11.434303%" w:type="pct"/>
          </w:tcPr>
          <w:p>
            <w:pPr>
              <w:pStyle w:val="table-level-0"/>
              <w:ind w:leftChars="0" w:left="0" w:right="0"/>
              <w:keepNext/>
            </w:pPr>
            <w:r>
              <w:t>-0,9</w:t>
            </w:r>
          </w:p>
        </w:tc>
      </w:tr>
    </w:tbl>
    <w:p>
      <w:pPr>
        <w:pStyle w:val="TableBottomMargin"/>
      </w:pPr>
    </w:p>
    <w:p>
      <w:pPr>
        <w:pStyle w:val="BodyText"/>
        <w:ind w:leftChars="0" w:left="0" w:right="0"/>
      </w:pPr>
      <w:r>
        <w:t xml:space="preserve">Dal prospetto si evince che al 31 dicembre 2022 il valore della voce </w:t>
      </w:r>
      <w:r>
        <w:rPr>
          <w:i/>
          <w:iCs/>
        </w:rPr>
        <w:t>Capitale circolante netto operativo</w:t>
      </w:r>
      <w:r>
        <w:t xml:space="preserve"> è pari a € 404.450 ed è in diminuzione del 6% rispetto al 31 dicembre 2021.</w:t>
      </w:r>
    </w:p>
    <w:p>
      <w:pPr>
        <w:pStyle w:val="BodyText"/>
        <w:ind w:leftChars="0" w:left="0" w:right="0"/>
      </w:pPr>
      <w:r>
        <w:t xml:space="preserve">Il grafico seguente mostra l’analisi dell’andamento della voce </w:t>
      </w:r>
      <w:r>
        <w:rPr>
          <w:i/>
          <w:iCs/>
        </w:rPr>
        <w:t>Capitale circolante netto operativo</w:t>
      </w:r>
      <w:r>
        <w:t xml:space="preserve"> dal 31 dicembre 2017 al 31 dicembre 2022. Tale valore risulta in diminuzione del 26%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5" name="81c7c5a273b3abee47fc9e4b0869dab1.png" descr="_static/temp/81c7c5a273b3abee47fc9e4b0869d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81c7c5a273b3abee47fc9e4b0869dab1.png" descr="_static/temp/81c7c5a273b3abee47fc9e4b0869dab1.png"/>
                    <pic:cNvPicPr>
                      <a:picLocks noChangeAspect="1" noChangeArrowheads="1"/>
                    </pic:cNvPicPr>
                  </pic:nvPicPr>
                  <pic:blipFill>
                    <a:blip xmlns:r="http://schemas.openxmlformats.org/officeDocument/2006/relationships" r:embed="rId28"/>
                    <a:srcRect/>
                    <a:stretch>
                      <a:fillRect/>
                    </a:stretch>
                  </pic:blipFill>
                  <pic:spPr bwMode="auto">
                    <a:xfrm>
                      <a:off x="0" y="0"/>
                      <a:ext cx="6476365" cy="3266766"/>
                    </a:xfrm>
                    <a:prstGeom prst="rect">
                      <a:avLst/>
                    </a:prstGeom>
                    <a:noFill/>
                  </pic:spPr>
                </pic:pic>
              </a:graphicData>
            </a:graphic>
          </wp:inline>
        </w:drawing>
      </w:r>
    </w:p>
    <w:bookmarkStart w:id="479" w:name="_9fe6c65bf0a7b78f9d8f2bb267c719e8"/>
    <w:bookmarkStart w:id="480" w:name="_6576c980ee5bb496b2a04f7cdbfa80a3"/>
    <w:p>
      <w:pPr>
        <w:pStyle w:val="Heading4"/>
        <w:keepNext/>
      </w:pPr>
      <w:r>
        <w:t>Capitale circolante commerciale</w:t>
      </w:r>
    </w:p>
    <w:p>
      <w:pPr>
        <w:pStyle w:val="BodyText"/>
        <w:ind w:leftChars="0" w:left="0" w:right="0"/>
      </w:pPr>
      <w:r>
        <w:t xml:space="preserve">La presente sottosezione del </w:t>
      </w:r>
      <w:hyperlink w:anchor="_29ebf1d81f2de461da116e1be0058ae3">
        <w:r>
          <w:rPr>
            <w:rStyle w:val="Hyperlink"/>
          </w:rPr>
          <w:t>Capitale circolante netto</w:t>
        </w:r>
      </w:hyperlink>
      <w:r>
        <w:t xml:space="preserve"> è dedicata al capitale circolante commerciale. Questo rappresenta la differenza tra attività e passività correnti legate al ciclo operativo caratteristico (acquisto, trasformazione, vendite).</w:t>
      </w:r>
    </w:p>
    <w:p>
      <w:pPr>
        <w:pStyle w:val="BodyText"/>
        <w:ind w:leftChars="0" w:left="0" w:right="0"/>
      </w:pPr>
      <w:r>
        <w:t xml:space="preserve">Il prospetto seguente illustra il dettaglio analitico della voce </w:t>
      </w:r>
      <w:r>
        <w:rPr>
          <w:i/>
          <w:iCs/>
        </w:rPr>
        <w:t>Capitale circolante commerciale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576c980ee5bb496b2a04f7cdbfa80a3">
              <w:r>
                <w:rPr>
                  <w:rStyle w:val="Hyperlink"/>
                </w:rPr>
                <w:t>Capitale circolante commerciale</w:t>
              </w:r>
            </w:hyperlink>
          </w:p>
        </w:tc>
        <w:tc>
          <w:tcPr>
            <w:cnfStyle w:evenVBand="true" w:oddVBand="false" w:firstColumn="false"/>
            <w:tcW w:w="11.434303%" w:type="pct"/>
          </w:tcPr>
          <w:p>
            <w:pPr>
              <w:pStyle w:val="table-level-1"/>
              <w:ind w:leftChars="0" w:left="0" w:right="0"/>
              <w:keepNext/>
            </w:pPr>
            <w:r>
              <w:t>618,4</w:t>
            </w:r>
          </w:p>
        </w:tc>
        <w:tc>
          <w:tcPr>
            <w:cnfStyle w:evenVBand="false" w:oddVBand="true" w:firstColumn="false"/>
            <w:tcW w:w="11.434303%" w:type="pct"/>
          </w:tcPr>
          <w:p>
            <w:pPr>
              <w:pStyle w:val="table-level-1"/>
              <w:ind w:leftChars="0" w:left="0" w:right="0"/>
              <w:keepNext/>
            </w:pPr>
            <w:r>
              <w:t>627,8</w:t>
            </w:r>
          </w:p>
        </w:tc>
        <w:tc>
          <w:tcPr>
            <w:cnfStyle w:evenVBand="true" w:oddVBand="false" w:firstColumn="false"/>
            <w:tcW w:w="11.434303%" w:type="pct"/>
          </w:tcPr>
          <w:p>
            <w:pPr>
              <w:pStyle w:val="table-level-1"/>
              <w:ind w:leftChars="0" w:left="0" w:right="0"/>
              <w:keepNext/>
            </w:pPr>
            <w:r>
              <w:t>570,6</w:t>
            </w:r>
          </w:p>
        </w:tc>
        <w:tc>
          <w:tcPr>
            <w:cnfStyle w:evenVBand="false" w:oddVBand="true" w:firstColumn="false"/>
            <w:tcW w:w="11.434303%" w:type="pct"/>
          </w:tcPr>
          <w:p>
            <w:pPr>
              <w:pStyle w:val="table-level-1"/>
              <w:ind w:leftChars="0" w:left="0" w:right="0"/>
              <w:keepNext/>
            </w:pPr>
            <w:r>
              <w:t>366,8</w:t>
            </w:r>
          </w:p>
        </w:tc>
        <w:tc>
          <w:tcPr>
            <w:cnfStyle w:evenVBand="true" w:oddVBand="false" w:firstColumn="false"/>
            <w:tcW w:w="11.434303%" w:type="pct"/>
          </w:tcPr>
          <w:p>
            <w:pPr>
              <w:pStyle w:val="table-level-1"/>
              <w:ind w:leftChars="0" w:left="0" w:right="0"/>
              <w:keepNext/>
            </w:pPr>
            <w:r>
              <w:t>394,8</w:t>
            </w:r>
          </w:p>
        </w:tc>
        <w:tc>
          <w:tcPr>
            <w:cnfStyle w:evenVBand="false" w:oddVBand="true" w:firstColumn="false"/>
            <w:tcW w:w="11.434303%" w:type="pct"/>
          </w:tcPr>
          <w:p>
            <w:pPr>
              <w:pStyle w:val="table-level-1"/>
              <w:ind w:leftChars="0" w:left="0" w:right="0"/>
              <w:keepNext/>
            </w:pPr>
            <w:r>
              <w:t>656,8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b492563a144924a6b8f7092b1a8a2c92">
              <w:r>
                <w:rPr>
                  <w:rStyle w:val="Hyperlink"/>
                </w:rPr>
                <w:t>Rimanenze</w:t>
              </w:r>
            </w:hyperlink>
          </w:p>
        </w:tc>
        <w:tc>
          <w:tcPr>
            <w:cnfStyle w:evenVBand="true" w:oddVBand="false" w:firstColumn="false"/>
            <w:tcW w:w="11.434303%" w:type="pct"/>
          </w:tcPr>
          <w:p>
            <w:pPr>
              <w:pStyle w:val="table-level-0"/>
              <w:ind w:leftChars="0" w:left="0" w:right="0"/>
              <w:keepNext/>
            </w:pPr>
            <w:r>
              <w:t>227,7</w:t>
            </w:r>
          </w:p>
        </w:tc>
        <w:tc>
          <w:tcPr>
            <w:cnfStyle w:evenVBand="false" w:oddVBand="true" w:firstColumn="false"/>
            <w:tcW w:w="11.434303%" w:type="pct"/>
          </w:tcPr>
          <w:p>
            <w:pPr>
              <w:pStyle w:val="table-level-0"/>
              <w:ind w:leftChars="0" w:left="0" w:right="0"/>
              <w:keepNext/>
            </w:pPr>
            <w:r>
              <w:t>190,2</w:t>
            </w:r>
          </w:p>
        </w:tc>
        <w:tc>
          <w:tcPr>
            <w:cnfStyle w:evenVBand="true" w:oddVBand="false" w:firstColumn="false"/>
            <w:tcW w:w="11.434303%" w:type="pct"/>
          </w:tcPr>
          <w:p>
            <w:pPr>
              <w:pStyle w:val="table-level-0"/>
              <w:ind w:leftChars="0" w:left="0" w:right="0"/>
              <w:keepNext/>
            </w:pPr>
            <w:r>
              <w:t>153,3</w:t>
            </w:r>
          </w:p>
        </w:tc>
        <w:tc>
          <w:tcPr>
            <w:cnfStyle w:evenVBand="false" w:oddVBand="true" w:firstColumn="false"/>
            <w:tcW w:w="11.434303%" w:type="pct"/>
          </w:tcPr>
          <w:p>
            <w:pPr>
              <w:pStyle w:val="table-level-0"/>
              <w:ind w:leftChars="0" w:left="0" w:right="0"/>
              <w:keepNext/>
            </w:pPr>
            <w:r>
              <w:t>121,8</w:t>
            </w:r>
          </w:p>
        </w:tc>
        <w:tc>
          <w:tcPr>
            <w:cnfStyle w:evenVBand="true" w:oddVBand="false" w:firstColumn="false"/>
            <w:tcW w:w="11.434303%" w:type="pct"/>
          </w:tcPr>
          <w:p>
            <w:pPr>
              <w:pStyle w:val="table-level-0"/>
              <w:ind w:leftChars="0" w:left="0" w:right="0"/>
              <w:keepNext/>
            </w:pPr>
            <w:r>
              <w:t>113,8</w:t>
            </w:r>
          </w:p>
        </w:tc>
        <w:tc>
          <w:tcPr>
            <w:cnfStyle w:evenVBand="false" w:oddVBand="true" w:firstColumn="false"/>
            <w:tcW w:w="11.434303%" w:type="pct"/>
          </w:tcPr>
          <w:p>
            <w:pPr>
              <w:pStyle w:val="table-level-0"/>
              <w:ind w:leftChars="0" w:left="0" w:right="0"/>
              <w:keepNext/>
            </w:pPr>
            <w:r>
              <w:t>106,8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d8e5fe1a56cc3ed59aace967157e90c7">
              <w:r>
                <w:rPr>
                  <w:rStyle w:val="Hyperlink"/>
                </w:rPr>
                <w:t>Crediti commerciali</w:t>
              </w:r>
            </w:hyperlink>
          </w:p>
        </w:tc>
        <w:tc>
          <w:tcPr>
            <w:cnfStyle w:evenVBand="true" w:oddVBand="false" w:firstColumn="false"/>
            <w:tcW w:w="11.434303%" w:type="pct"/>
          </w:tcPr>
          <w:p>
            <w:pPr>
              <w:pStyle w:val="table-level-0"/>
              <w:ind w:leftChars="0" w:left="0" w:right="0"/>
              <w:keepNext/>
            </w:pPr>
            <w:r>
              <w:t>1.004</w:t>
            </w:r>
          </w:p>
        </w:tc>
        <w:tc>
          <w:tcPr>
            <w:cnfStyle w:evenVBand="false" w:oddVBand="true" w:firstColumn="false"/>
            <w:tcW w:w="11.434303%" w:type="pct"/>
          </w:tcPr>
          <w:p>
            <w:pPr>
              <w:pStyle w:val="table-level-0"/>
              <w:ind w:leftChars="0" w:left="0" w:right="0"/>
              <w:keepNext/>
            </w:pPr>
            <w:r>
              <w:t>945,4</w:t>
            </w:r>
          </w:p>
        </w:tc>
        <w:tc>
          <w:tcPr>
            <w:cnfStyle w:evenVBand="true" w:oddVBand="false" w:firstColumn="false"/>
            <w:tcW w:w="11.434303%" w:type="pct"/>
          </w:tcPr>
          <w:p>
            <w:pPr>
              <w:pStyle w:val="table-level-0"/>
              <w:ind w:leftChars="0" w:left="0" w:right="0"/>
              <w:keepNext/>
            </w:pPr>
            <w:r>
              <w:t>825,2</w:t>
            </w:r>
          </w:p>
        </w:tc>
        <w:tc>
          <w:tcPr>
            <w:cnfStyle w:evenVBand="false" w:oddVBand="true" w:firstColumn="false"/>
            <w:tcW w:w="11.434303%" w:type="pct"/>
          </w:tcPr>
          <w:p>
            <w:pPr>
              <w:pStyle w:val="table-level-0"/>
              <w:ind w:leftChars="0" w:left="0" w:right="0"/>
              <w:keepNext/>
            </w:pPr>
            <w:r>
              <w:t>747</w:t>
            </w:r>
          </w:p>
        </w:tc>
        <w:tc>
          <w:tcPr>
            <w:cnfStyle w:evenVBand="true" w:oddVBand="false" w:firstColumn="false"/>
            <w:tcW w:w="11.434303%" w:type="pct"/>
          </w:tcPr>
          <w:p>
            <w:pPr>
              <w:pStyle w:val="table-level-0"/>
              <w:ind w:leftChars="0" w:left="0" w:right="0"/>
              <w:keepNext/>
            </w:pPr>
            <w:r>
              <w:t>731</w:t>
            </w:r>
          </w:p>
        </w:tc>
        <w:tc>
          <w:tcPr>
            <w:cnfStyle w:evenVBand="false" w:oddVBand="true" w:firstColumn="false"/>
            <w:tcW w:w="11.434303%" w:type="pct"/>
          </w:tcPr>
          <w:p>
            <w:pPr>
              <w:pStyle w:val="table-level-0"/>
              <w:ind w:leftChars="0" w:left="0" w:right="0"/>
              <w:keepNext/>
            </w:pPr>
            <w:r>
              <w:t>715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9aaa98447261e04b796e18b5c68f0b32">
              <w:r>
                <w:rPr>
                  <w:rStyle w:val="Hyperlink"/>
                </w:rPr>
                <w:t>Debiti commerciali</w:t>
              </w:r>
            </w:hyperlink>
          </w:p>
        </w:tc>
        <w:tc>
          <w:tcPr>
            <w:cnfStyle w:evenVBand="true" w:oddVBand="false" w:firstColumn="false"/>
            <w:tcW w:w="11.434303%" w:type="pct"/>
          </w:tcPr>
          <w:p>
            <w:pPr>
              <w:pStyle w:val="table-level-0"/>
              <w:ind w:leftChars="0" w:left="0" w:right="0"/>
              <w:keepNext/>
            </w:pPr>
            <w:r>
              <w:t>-612,8</w:t>
            </w:r>
          </w:p>
        </w:tc>
        <w:tc>
          <w:tcPr>
            <w:cnfStyle w:evenVBand="false" w:oddVBand="true" w:firstColumn="false"/>
            <w:tcW w:w="11.434303%" w:type="pct"/>
          </w:tcPr>
          <w:p>
            <w:pPr>
              <w:pStyle w:val="table-level-0"/>
              <w:ind w:leftChars="0" w:left="0" w:right="0"/>
              <w:keepNext/>
            </w:pPr>
            <w:r>
              <w:t>-507,8</w:t>
            </w:r>
          </w:p>
        </w:tc>
        <w:tc>
          <w:tcPr>
            <w:cnfStyle w:evenVBand="true" w:oddVBand="false" w:firstColumn="false"/>
            <w:tcW w:w="11.434303%" w:type="pct"/>
          </w:tcPr>
          <w:p>
            <w:pPr>
              <w:pStyle w:val="table-level-0"/>
              <w:ind w:leftChars="0" w:left="0" w:right="0"/>
              <w:keepNext/>
            </w:pPr>
            <w:r>
              <w:t>-408</w:t>
            </w:r>
          </w:p>
        </w:tc>
        <w:tc>
          <w:tcPr>
            <w:cnfStyle w:evenVBand="false" w:oddVBand="true" w:firstColumn="false"/>
            <w:tcW w:w="11.434303%" w:type="pct"/>
          </w:tcPr>
          <w:p>
            <w:pPr>
              <w:pStyle w:val="table-level-0"/>
              <w:ind w:leftChars="0" w:left="0" w:right="0"/>
              <w:keepNext/>
            </w:pPr>
            <w:r>
              <w:t>-502</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-165</w:t>
            </w:r>
          </w:p>
        </w:tc>
      </w:tr>
    </w:tbl>
    <w:p>
      <w:pPr>
        <w:pStyle w:val="TableBottomMargin"/>
      </w:pPr>
    </w:p>
    <w:p>
      <w:pPr>
        <w:pStyle w:val="BodyText"/>
        <w:ind w:leftChars="0" w:left="0" w:right="0"/>
      </w:pPr>
      <w:r>
        <w:t xml:space="preserve">Dal prospetto si evince che al 31 dicembre 2022 il valore della voce </w:t>
      </w:r>
      <w:r>
        <w:rPr>
          <w:i/>
          <w:iCs/>
        </w:rPr>
        <w:t>Capitale circolante commerciale</w:t>
      </w:r>
      <w:r>
        <w:t xml:space="preserve"> è pari a € 618.450 ed è in diminuzione del 1% rispetto al 31 dicembre 2021.</w:t>
      </w:r>
    </w:p>
    <w:p>
      <w:pPr>
        <w:pStyle w:val="BodyText"/>
        <w:ind w:leftChars="0" w:left="0" w:right="0"/>
      </w:pPr>
      <w:r>
        <w:t xml:space="preserve">Il grafico seguente mostra l’analisi dell’andamento della voce </w:t>
      </w:r>
      <w:r>
        <w:rPr>
          <w:i/>
          <w:iCs/>
        </w:rPr>
        <w:t>Capitale circolante commerciale</w:t>
      </w:r>
      <w:r>
        <w:t xml:space="preserve"> dal 31 dicembre 2017 al 31 dicembre 2022. Tale valore risulta in diminuzione del 6%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6" name="b602fddec868906024c9ee19d17b0df9.png" descr="_static/temp/b602fddec868906024c9ee19d17b0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602fddec868906024c9ee19d17b0df9.png" descr="_static/temp/b602fddec868906024c9ee19d17b0df9.png"/>
                    <pic:cNvPicPr>
                      <a:picLocks noChangeAspect="1" noChangeArrowheads="1"/>
                    </pic:cNvPicPr>
                  </pic:nvPicPr>
                  <pic:blipFill>
                    <a:blip xmlns:r="http://schemas.openxmlformats.org/officeDocument/2006/relationships" r:embed="rId2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Capitale circolante commerciale</w:t>
      </w:r>
      <w:r>
        <w:t xml:space="preserve"> al 31 dicembre 2022, la componente più significativa è rappresentata dalla voce </w:t>
      </w:r>
      <w:r>
        <w:rPr>
          <w:i/>
          <w:iCs/>
        </w:rPr>
        <w:t>Crediti commerciali</w:t>
      </w:r>
      <w:r>
        <w:t xml:space="preserve"> con un valore pari a 1.003.500 €. Il grafico seguente visualizza la ripartizione di tutte le componenti della voce </w:t>
      </w:r>
      <w:r>
        <w:rPr>
          <w:i/>
          <w:iCs/>
        </w:rPr>
        <w:t>Capitale circolante commerciale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7" name="e4bc2688570a91feeeebb1b0ffa98595.png" descr="_static/temp/e4bc2688570a91feeeebb1b0ffa98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4bc2688570a91feeeebb1b0ffa98595.png" descr="_static/temp/e4bc2688570a91feeeebb1b0ffa98595.png"/>
                    <pic:cNvPicPr>
                      <a:picLocks noChangeAspect="1" noChangeArrowheads="1"/>
                    </pic:cNvPicPr>
                  </pic:nvPicPr>
                  <pic:blipFill>
                    <a:blip xmlns:r="http://schemas.openxmlformats.org/officeDocument/2006/relationships" r:embed="rId30"/>
                    <a:srcRect/>
                    <a:stretch>
                      <a:fillRect/>
                    </a:stretch>
                  </pic:blipFill>
                  <pic:spPr bwMode="auto">
                    <a:xfrm>
                      <a:off x="0" y="0"/>
                      <a:ext cx="6476365" cy="3266766"/>
                    </a:xfrm>
                    <a:prstGeom prst="rect">
                      <a:avLst/>
                    </a:prstGeom>
                    <a:noFill/>
                  </pic:spPr>
                </pic:pic>
              </a:graphicData>
            </a:graphic>
          </wp:inline>
        </w:drawing>
      </w:r>
    </w:p>
    <w:bookmarkStart w:id="481" w:name="_eae664c5f7fb7fb683f0c33a12d7a3c9"/>
    <w:bookmarkStart w:id="482" w:name="_b492563a144924a6b8f7092b1a8a2c92"/>
    <w:p>
      <w:pPr>
        <w:pStyle w:val="Heading5"/>
        <w:keepNext/>
      </w:pPr>
      <w:r>
        <w:t>Rimanenze</w:t>
      </w:r>
    </w:p>
    <w:p>
      <w:pPr>
        <w:pStyle w:val="BodyText"/>
        <w:ind w:leftChars="0" w:left="0" w:right="0"/>
      </w:pPr>
      <w:r>
        <w:t xml:space="preserve">La presente sottosezione del </w:t>
      </w:r>
      <w:hyperlink w:anchor="_6576c980ee5bb496b2a04f7cdbfa80a3">
        <w:r>
          <w:rPr>
            <w:rStyle w:val="Hyperlink"/>
          </w:rPr>
          <w:t>Capitale circolante commerciale</w:t>
        </w:r>
      </w:hyperlink>
      <w:r>
        <w:t xml:space="preserve"> è dedicata alle rimanenze. Queste sono rappresentate da beni destinati alla vendita o impiegati all’interno di un singolo ciclo produttivo.</w:t>
      </w:r>
    </w:p>
    <w:p>
      <w:pPr>
        <w:pStyle w:val="BodyText"/>
        <w:ind w:leftChars="0" w:left="0" w:right="0"/>
      </w:pPr>
      <w:r>
        <w:t xml:space="preserve">Il prospetto seguente illustra il dettaglio analitico della voce </w:t>
      </w:r>
      <w:r>
        <w:rPr>
          <w:i/>
          <w:iCs/>
        </w:rPr>
        <w:t>Rimanenze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b492563a144924a6b8f7092b1a8a2c92">
              <w:r>
                <w:rPr>
                  <w:rStyle w:val="Hyperlink"/>
                </w:rPr>
                <w:t>Rimanenze</w:t>
              </w:r>
            </w:hyperlink>
          </w:p>
        </w:tc>
        <w:tc>
          <w:tcPr>
            <w:cnfStyle w:evenVBand="true" w:oddVBand="false" w:firstColumn="false"/>
            <w:tcW w:w="11.434303%" w:type="pct"/>
          </w:tcPr>
          <w:p>
            <w:pPr>
              <w:pStyle w:val="table-level-1"/>
              <w:ind w:leftChars="0" w:left="0" w:right="0"/>
              <w:keepNext/>
            </w:pPr>
            <w:r>
              <w:t>227,7</w:t>
            </w:r>
          </w:p>
        </w:tc>
        <w:tc>
          <w:tcPr>
            <w:cnfStyle w:evenVBand="false" w:oddVBand="true" w:firstColumn="false"/>
            <w:tcW w:w="11.434303%" w:type="pct"/>
          </w:tcPr>
          <w:p>
            <w:pPr>
              <w:pStyle w:val="table-level-1"/>
              <w:ind w:leftChars="0" w:left="0" w:right="0"/>
              <w:keepNext/>
            </w:pPr>
            <w:r>
              <w:t>190,2</w:t>
            </w:r>
          </w:p>
        </w:tc>
        <w:tc>
          <w:tcPr>
            <w:cnfStyle w:evenVBand="true" w:oddVBand="false" w:firstColumn="false"/>
            <w:tcW w:w="11.434303%" w:type="pct"/>
          </w:tcPr>
          <w:p>
            <w:pPr>
              <w:pStyle w:val="table-level-1"/>
              <w:ind w:leftChars="0" w:left="0" w:right="0"/>
              <w:keepNext/>
            </w:pPr>
            <w:r>
              <w:t>153,3</w:t>
            </w:r>
          </w:p>
        </w:tc>
        <w:tc>
          <w:tcPr>
            <w:cnfStyle w:evenVBand="false" w:oddVBand="true" w:firstColumn="false"/>
            <w:tcW w:w="11.434303%" w:type="pct"/>
          </w:tcPr>
          <w:p>
            <w:pPr>
              <w:pStyle w:val="table-level-1"/>
              <w:ind w:leftChars="0" w:left="0" w:right="0"/>
              <w:keepNext/>
            </w:pPr>
            <w:r>
              <w:t>121,8</w:t>
            </w:r>
          </w:p>
        </w:tc>
        <w:tc>
          <w:tcPr>
            <w:cnfStyle w:evenVBand="true" w:oddVBand="false" w:firstColumn="false"/>
            <w:tcW w:w="11.434303%" w:type="pct"/>
          </w:tcPr>
          <w:p>
            <w:pPr>
              <w:pStyle w:val="table-level-1"/>
              <w:ind w:leftChars="0" w:left="0" w:right="0"/>
              <w:keepNext/>
            </w:pPr>
            <w:r>
              <w:t>113,8</w:t>
            </w:r>
          </w:p>
        </w:tc>
        <w:tc>
          <w:tcPr>
            <w:cnfStyle w:evenVBand="false" w:oddVBand="true" w:firstColumn="false"/>
            <w:tcW w:w="11.434303%" w:type="pct"/>
          </w:tcPr>
          <w:p>
            <w:pPr>
              <w:pStyle w:val="table-level-1"/>
              <w:ind w:leftChars="0" w:left="0" w:right="0"/>
              <w:keepNext/>
            </w:pPr>
            <w:r>
              <w:t>106,8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Rim. materie prime</w:t>
            </w:r>
          </w:p>
        </w:tc>
        <w:tc>
          <w:tcPr>
            <w:cnfStyle w:evenVBand="true" w:oddVBand="false" w:firstColumn="false"/>
            <w:tcW w:w="11.434303%" w:type="pct"/>
          </w:tcPr>
          <w:p>
            <w:pPr>
              <w:pStyle w:val="table-level-0"/>
              <w:ind w:leftChars="0" w:left="0" w:right="0"/>
              <w:keepNext/>
            </w:pPr>
            <w:r>
              <w:t>7,6</w:t>
            </w:r>
          </w:p>
        </w:tc>
        <w:tc>
          <w:tcPr>
            <w:cnfStyle w:evenVBand="false" w:oddVBand="true" w:firstColumn="false"/>
            <w:tcW w:w="11.434303%" w:type="pct"/>
          </w:tcPr>
          <w:p>
            <w:pPr>
              <w:pStyle w:val="table-level-0"/>
              <w:ind w:leftChars="0" w:left="0" w:right="0"/>
              <w:keepNext/>
            </w:pPr>
            <w:r>
              <w:t>7</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4,2</w:t>
            </w:r>
          </w:p>
        </w:tc>
        <w:tc>
          <w:tcPr>
            <w:cnfStyle w:evenVBand="false" w:oddVBand="true" w:firstColumn="false"/>
            <w:tcW w:w="11.434303%" w:type="pct"/>
          </w:tcPr>
          <w:p>
            <w:pPr>
              <w:pStyle w:val="table-level-0"/>
              <w:ind w:leftChars="0" w:left="0" w:right="0"/>
              <w:keepNext/>
            </w:pPr>
            <w:r>
              <w:t>3,4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Rim. materiali consumo</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4,25</w:t>
            </w:r>
          </w:p>
        </w:tc>
        <w:tc>
          <w:tcPr>
            <w:cnfStyle w:evenVBand="false" w:oddVBand="true" w:firstColumn="false"/>
            <w:tcW w:w="11.434303%" w:type="pct"/>
          </w:tcPr>
          <w:p>
            <w:pPr>
              <w:pStyle w:val="table-level-0"/>
              <w:ind w:leftChars="0" w:left="0" w:right="0"/>
              <w:keepNext/>
            </w:pPr>
            <w:r>
              <w:t>3,75</w:t>
            </w:r>
          </w:p>
        </w:tc>
        <w:tc>
          <w:tcPr>
            <w:cnfStyle w:evenVBand="true" w:oddVBand="false" w:firstColumn="false"/>
            <w:tcW w:w="11.434303%" w:type="pct"/>
          </w:tcPr>
          <w:p>
            <w:pPr>
              <w:pStyle w:val="table-level-0"/>
              <w:ind w:leftChars="0" w:left="0" w:right="0"/>
              <w:keepNext/>
            </w:pPr>
            <w:r>
              <w:t>2,95</w:t>
            </w:r>
          </w:p>
        </w:tc>
        <w:tc>
          <w:tcPr>
            <w:cnfStyle w:evenVBand="false" w:oddVBand="true" w:firstColumn="false"/>
            <w:tcW w:w="11.434303%" w:type="pct"/>
          </w:tcPr>
          <w:p>
            <w:pPr>
              <w:pStyle w:val="table-level-0"/>
              <w:ind w:leftChars="0" w:left="0" w:right="0"/>
              <w:keepNext/>
            </w:pPr>
            <w:r>
              <w:t>2,15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Rim. materie sussidiarie</w:t>
            </w:r>
          </w:p>
        </w:tc>
        <w:tc>
          <w:tcPr>
            <w:cnfStyle w:evenVBand="true" w:oddVBand="false" w:firstColumn="false"/>
            <w:tcW w:w="11.434303%" w:type="pct"/>
          </w:tcPr>
          <w:p>
            <w:pPr>
              <w:pStyle w:val="table-level-0"/>
              <w:ind w:leftChars="0" w:left="0" w:right="0"/>
              <w:keepNext/>
            </w:pPr>
            <w:r>
              <w:t>2,6</w:t>
            </w:r>
          </w:p>
        </w:tc>
        <w:tc>
          <w:tcPr>
            <w:cnfStyle w:evenVBand="false" w:oddVBand="true" w:firstColumn="false"/>
            <w:tcW w:w="11.434303%" w:type="pct"/>
          </w:tcPr>
          <w:p>
            <w:pPr>
              <w:pStyle w:val="table-level-0"/>
              <w:ind w:leftChars="0" w:left="0" w:right="0"/>
              <w:keepNext/>
            </w:pPr>
            <w:r>
              <w:t>2,7</w:t>
            </w:r>
          </w:p>
        </w:tc>
        <w:tc>
          <w:tcPr>
            <w:cnfStyle w:evenVBand="true" w:oddVBand="false" w:firstColumn="false"/>
            <w:tcW w:w="11.434303%" w:type="pct"/>
          </w:tcPr>
          <w:p>
            <w:pPr>
              <w:pStyle w:val="table-level-0"/>
              <w:ind w:leftChars="0" w:left="0" w:right="0"/>
              <w:keepNext/>
            </w:pPr>
            <w:r>
              <w:t>2,55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0,9</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Rim. semilavorati</w:t>
            </w:r>
          </w:p>
        </w:tc>
        <w:tc>
          <w:tcPr>
            <w:cnfStyle w:evenVBand="true" w:oddVBand="false" w:firstColumn="false"/>
            <w:tcW w:w="11.434303%" w:type="pct"/>
          </w:tcPr>
          <w:p>
            <w:pPr>
              <w:pStyle w:val="table-level-0"/>
              <w:ind w:leftChars="0" w:left="0" w:right="0"/>
              <w:keepNext/>
            </w:pPr>
            <w:r>
              <w:t>12,5</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0,9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Rim. prodotti c/lavorazione</w:t>
            </w:r>
          </w:p>
        </w:tc>
        <w:tc>
          <w:tcPr>
            <w:cnfStyle w:evenVBand="true" w:oddVBand="false" w:firstColumn="false"/>
            <w:tcW w:w="11.434303%" w:type="pct"/>
          </w:tcPr>
          <w:p>
            <w:pPr>
              <w:pStyle w:val="table-level-0"/>
              <w:ind w:leftChars="0" w:left="0" w:right="0"/>
              <w:keepNext/>
            </w:pPr>
            <w:r>
              <w:t>27</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25,5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24,2</w:t>
            </w:r>
          </w:p>
        </w:tc>
        <w:tc>
          <w:tcPr>
            <w:cnfStyle w:evenVBand="false" w:oddVBand="true" w:firstColumn="false"/>
            <w:tcW w:w="11.434303%" w:type="pct"/>
          </w:tcPr>
          <w:p>
            <w:pPr>
              <w:pStyle w:val="table-level-0"/>
              <w:ind w:leftChars="0" w:left="0" w:right="0"/>
              <w:keepNext/>
            </w:pPr>
            <w:r>
              <w:t>23,4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Rim. lavori in c/ordinazione</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16</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7,2</w:t>
            </w:r>
          </w:p>
        </w:tc>
        <w:tc>
          <w:tcPr>
            <w:cnfStyle w:evenVBand="false" w:oddVBand="true" w:firstColumn="false"/>
            <w:tcW w:w="11.434303%" w:type="pct"/>
          </w:tcPr>
          <w:p>
            <w:pPr>
              <w:pStyle w:val="table-level-0"/>
              <w:ind w:leftChars="0" w:left="0" w:right="0"/>
              <w:keepNext/>
            </w:pPr>
            <w:r>
              <w:t>6,4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Rim. prodotti finiti</w:t>
            </w:r>
          </w:p>
        </w:tc>
        <w:tc>
          <w:tcPr>
            <w:cnfStyle w:evenVBand="true" w:oddVBand="false" w:firstColumn="false"/>
            <w:tcW w:w="11.434303%" w:type="pct"/>
          </w:tcPr>
          <w:p>
            <w:pPr>
              <w:pStyle w:val="table-level-0"/>
              <w:ind w:leftChars="0" w:left="0" w:right="0"/>
              <w:keepNext/>
            </w:pPr>
            <w:r>
              <w:t>58</w:t>
            </w:r>
          </w:p>
        </w:tc>
        <w:tc>
          <w:tcPr>
            <w:cnfStyle w:evenVBand="false" w:oddVBand="true" w:firstColumn="false"/>
            <w:tcW w:w="11.434303%" w:type="pct"/>
          </w:tcPr>
          <w:p>
            <w:pPr>
              <w:pStyle w:val="table-level-0"/>
              <w:ind w:leftChars="0" w:left="0" w:right="0"/>
              <w:keepNext/>
            </w:pPr>
            <w:r>
              <w:t>57</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49,2</w:t>
            </w:r>
          </w:p>
        </w:tc>
        <w:tc>
          <w:tcPr>
            <w:cnfStyle w:evenVBand="false" w:oddVBand="true" w:firstColumn="false"/>
            <w:tcW w:w="11.434303%" w:type="pct"/>
          </w:tcPr>
          <w:p>
            <w:pPr>
              <w:pStyle w:val="table-level-0"/>
              <w:ind w:leftChars="0" w:left="0" w:right="0"/>
              <w:keepNext/>
            </w:pPr>
            <w:r>
              <w:t>48,4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Rim. merci</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11,5</w:t>
            </w:r>
          </w:p>
        </w:tc>
        <w:tc>
          <w:tcPr>
            <w:cnfStyle w:evenVBand="true" w:oddVBand="false" w:firstColumn="false"/>
            <w:tcW w:w="11.434303%" w:type="pct"/>
          </w:tcPr>
          <w:p>
            <w:pPr>
              <w:pStyle w:val="table-level-0"/>
              <w:ind w:leftChars="0" w:left="0" w:right="0"/>
              <w:keepNext/>
            </w:pPr>
            <w:r>
              <w:t>10,5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9,2</w:t>
            </w:r>
          </w:p>
        </w:tc>
        <w:tc>
          <w:tcPr>
            <w:cnfStyle w:evenVBand="false" w:oddVBand="true" w:firstColumn="false"/>
            <w:tcW w:w="11.434303%" w:type="pct"/>
          </w:tcPr>
          <w:p>
            <w:pPr>
              <w:pStyle w:val="table-level-0"/>
              <w:ind w:leftChars="0" w:left="0" w:right="0"/>
              <w:keepNext/>
            </w:pPr>
            <w:r>
              <w:t>8,4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Rim. immobilizzazioni in corso</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14,2</w:t>
            </w:r>
          </w:p>
        </w:tc>
        <w:tc>
          <w:tcPr>
            <w:cnfStyle w:evenVBand="false" w:oddVBand="true" w:firstColumn="false"/>
            <w:tcW w:w="11.434303%" w:type="pct"/>
          </w:tcPr>
          <w:p>
            <w:pPr>
              <w:pStyle w:val="table-level-0"/>
              <w:ind w:leftChars="0" w:left="0" w:right="0"/>
              <w:keepNext/>
            </w:pPr>
            <w:r>
              <w:t>13,4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Acconti a fornitori</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4,2</w:t>
            </w:r>
          </w:p>
        </w:tc>
        <w:tc>
          <w:tcPr>
            <w:cnfStyle w:evenVBand="false" w:oddVBand="true" w:firstColumn="false"/>
            <w:tcW w:w="11.434303%" w:type="pct"/>
          </w:tcPr>
          <w:p>
            <w:pPr>
              <w:pStyle w:val="table-level-0"/>
              <w:ind w:leftChars="0" w:left="0" w:right="0"/>
              <w:keepNext/>
            </w:pPr>
            <w:r>
              <w:t>3,4</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-5</w:t>
            </w:r>
          </w:p>
        </w:tc>
        <w:tc>
          <w:tcPr>
            <w:cnfStyle w:evenVBand="false" w:oddVBand="true" w:firstColumn="false"/>
            <w:tcW w:w="11.434303%" w:type="pct"/>
          </w:tcPr>
          <w:p>
            <w:pPr>
              <w:pStyle w:val="table-level-100"/>
              <w:ind w:leftChars="0" w:left="0" w:right="0"/>
              <w:keepNext/>
            </w:pPr>
            <w:r>
              <w:t>-5</w:t>
            </w:r>
          </w:p>
        </w:tc>
        <w:tc>
          <w:tcPr>
            <w:cnfStyle w:evenVBand="true" w:oddVBand="false" w:firstColumn="false"/>
            <w:tcW w:w="11.434303%" w:type="pct"/>
          </w:tcPr>
          <w:p>
            <w:pPr>
              <w:pStyle w:val="table-level-100"/>
              <w:ind w:leftChars="0" w:left="0" w:right="0"/>
              <w:keepNext/>
            </w:pPr>
            <w:r>
              <w:t>-5</w:t>
            </w:r>
          </w:p>
        </w:tc>
        <w:tc>
          <w:tcPr>
            <w:cnfStyle w:evenVBand="false" w:oddVBand="true" w:firstColumn="false"/>
            <w:tcW w:w="11.434303%" w:type="pct"/>
          </w:tcPr>
          <w:p>
            <w:pPr>
              <w:pStyle w:val="table-level-100"/>
              <w:ind w:leftChars="0" w:left="0" w:right="0"/>
              <w:keepNext/>
            </w:pPr>
            <w:r>
              <w:t>-5</w:t>
            </w:r>
          </w:p>
        </w:tc>
        <w:tc>
          <w:tcPr>
            <w:cnfStyle w:evenVBand="true" w:oddVBand="false" w:firstColumn="false"/>
            <w:tcW w:w="11.434303%" w:type="pct"/>
          </w:tcPr>
          <w:p>
            <w:pPr>
              <w:pStyle w:val="table-level-100"/>
              <w:ind w:leftChars="0" w:left="0" w:right="0"/>
              <w:keepNext/>
            </w:pPr>
            <w:r>
              <w:t>-5</w:t>
            </w:r>
          </w:p>
        </w:tc>
        <w:tc>
          <w:tcPr>
            <w:cnfStyle w:evenVBand="false" w:oddVBand="true" w:firstColumn="false"/>
            <w:tcW w:w="11.434303%" w:type="pct"/>
          </w:tcPr>
          <w:p>
            <w:pPr>
              <w:pStyle w:val="table-level-100"/>
              <w:ind w:leftChars="0" w:left="0" w:right="0"/>
              <w:keepNext/>
            </w:pPr>
            <w:r>
              <w:t>-4</w:t>
            </w:r>
          </w:p>
        </w:tc>
      </w:tr>
    </w:tbl>
    <w:p>
      <w:pPr>
        <w:pStyle w:val="TableBottomMargin"/>
      </w:pPr>
    </w:p>
    <w:p>
      <w:pPr>
        <w:pStyle w:val="BodyText"/>
        <w:ind w:leftChars="0" w:left="0" w:right="0"/>
      </w:pPr>
      <w:r>
        <w:t xml:space="preserve">Dal prospetto si evince che al 31 dicembre 2022 il valore della voce </w:t>
      </w:r>
      <w:r>
        <w:rPr>
          <w:i/>
          <w:iCs/>
        </w:rPr>
        <w:t>Rimanenze</w:t>
      </w:r>
      <w:r>
        <w:t xml:space="preserve"> è pari a € 227.700 ed è in crescita del 20% rispetto al 31 dicembre 2021.</w:t>
      </w:r>
    </w:p>
    <w:p>
      <w:pPr>
        <w:pStyle w:val="BodyText"/>
        <w:ind w:leftChars="0" w:left="0" w:right="0"/>
      </w:pPr>
      <w:r>
        <w:t xml:space="preserve">Il grafico seguente mostra l’analisi dell’andamento della voce </w:t>
      </w:r>
      <w:r>
        <w:rPr>
          <w:i/>
          <w:iCs/>
        </w:rPr>
        <w:t>Rimanenze</w:t>
      </w:r>
      <w:r>
        <w:t xml:space="preserve"> dal 31 dicembre 2017 al 31 dicembre 2022. Tale valore risulta in crescita del 113%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8" name="432f840b1930ff77ba5af98ac3e23dc1.png" descr="_static/temp/432f840b1930ff77ba5af98ac3e23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432f840b1930ff77ba5af98ac3e23dc1.png" descr="_static/temp/432f840b1930ff77ba5af98ac3e23dc1.png"/>
                    <pic:cNvPicPr>
                      <a:picLocks noChangeAspect="1" noChangeArrowheads="1"/>
                    </pic:cNvPicPr>
                  </pic:nvPicPr>
                  <pic:blipFill>
                    <a:blip xmlns:r="http://schemas.openxmlformats.org/officeDocument/2006/relationships" r:embed="rId3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Rimanenze</w:t>
      </w:r>
      <w:r>
        <w:t xml:space="preserve"> al 31 dicembre 2022, la componente più significativa è rappresentata dalla voce </w:t>
      </w:r>
      <w:r>
        <w:rPr>
          <w:i/>
          <w:iCs/>
        </w:rPr>
        <w:t>Rimanenze di prodotti finiti</w:t>
      </w:r>
      <w:r>
        <w:t xml:space="preserve"> con un valore pari a 58.000 €. Il grafico seguente visualizza la ripartizione di tutte le componenti della voce </w:t>
      </w:r>
      <w:r>
        <w:rPr>
          <w:i/>
          <w:iCs/>
        </w:rPr>
        <w:t>Rimanenze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09" name="119b414e742adec5b34166f03e80ff7d.png" descr="_static/temp/119b414e742adec5b34166f03e80ff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9b414e742adec5b34166f03e80ff7d.png" descr="_static/temp/119b414e742adec5b34166f03e80ff7d.png"/>
                    <pic:cNvPicPr>
                      <a:picLocks noChangeAspect="1" noChangeArrowheads="1"/>
                    </pic:cNvPicPr>
                  </pic:nvPicPr>
                  <pic:blipFill>
                    <a:blip xmlns:r="http://schemas.openxmlformats.org/officeDocument/2006/relationships" r:embed="rId32"/>
                    <a:srcRect/>
                    <a:stretch>
                      <a:fillRect/>
                    </a:stretch>
                  </pic:blipFill>
                  <pic:spPr bwMode="auto">
                    <a:xfrm>
                      <a:off x="0" y="0"/>
                      <a:ext cx="6476365" cy="3266766"/>
                    </a:xfrm>
                    <a:prstGeom prst="rect">
                      <a:avLst/>
                    </a:prstGeom>
                    <a:noFill/>
                  </pic:spPr>
                </pic:pic>
              </a:graphicData>
            </a:graphic>
          </wp:inline>
        </w:drawing>
      </w:r>
    </w:p>
    <w:bookmarkEnd w:id="481"/>
    <w:bookmarkEnd w:id="482"/>
    <w:bookmarkStart w:id="483" w:name="_861cefb2af76e89b0436d05563285383"/>
    <w:bookmarkStart w:id="484" w:name="_d8e5fe1a56cc3ed59aace967157e90c7"/>
    <w:p>
      <w:pPr>
        <w:pStyle w:val="Heading5"/>
        <w:keepNext/>
      </w:pPr>
      <w:r>
        <w:t>Crediti commerciali</w:t>
      </w:r>
    </w:p>
    <w:p>
      <w:pPr>
        <w:pStyle w:val="BodyText"/>
        <w:ind w:leftChars="0" w:left="0" w:right="0"/>
      </w:pPr>
      <w:r>
        <w:t xml:space="preserve">La presente sottosezione del </w:t>
      </w:r>
      <w:hyperlink w:anchor="_6576c980ee5bb496b2a04f7cdbfa80a3">
        <w:r>
          <w:rPr>
            <w:rStyle w:val="Hyperlink"/>
          </w:rPr>
          <w:t>Capitale circolante commerciale</w:t>
        </w:r>
      </w:hyperlink>
      <w:r>
        <w:t xml:space="preserve"> è dedicata ai crediti commerciali. Questi rappresentano crediti sorti in relazione alla cessione di beni o alla prestazione di servizi.</w:t>
      </w:r>
    </w:p>
    <w:p>
      <w:pPr>
        <w:pStyle w:val="BodyText"/>
        <w:ind w:leftChars="0" w:left="0" w:right="0"/>
      </w:pPr>
      <w:r>
        <w:t xml:space="preserve">Il prospetto seguente illustra il dettaglio analitico della voce </w:t>
      </w:r>
      <w:r>
        <w:rPr>
          <w:i/>
          <w:iCs/>
        </w:rPr>
        <w:t>Crediti commerciali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d8e5fe1a56cc3ed59aace967157e90c7">
              <w:r>
                <w:rPr>
                  <w:rStyle w:val="Hyperlink"/>
                </w:rPr>
                <w:t>Crediti commerciali</w:t>
              </w:r>
            </w:hyperlink>
          </w:p>
        </w:tc>
        <w:tc>
          <w:tcPr>
            <w:cnfStyle w:evenVBand="true" w:oddVBand="false" w:firstColumn="false"/>
            <w:tcW w:w="11.434303%" w:type="pct"/>
          </w:tcPr>
          <w:p>
            <w:pPr>
              <w:pStyle w:val="table-level-1"/>
              <w:ind w:leftChars="0" w:left="0" w:right="0"/>
              <w:keepNext/>
            </w:pPr>
            <w:r>
              <w:t>1.004</w:t>
            </w:r>
          </w:p>
        </w:tc>
        <w:tc>
          <w:tcPr>
            <w:cnfStyle w:evenVBand="false" w:oddVBand="true" w:firstColumn="false"/>
            <w:tcW w:w="11.434303%" w:type="pct"/>
          </w:tcPr>
          <w:p>
            <w:pPr>
              <w:pStyle w:val="table-level-1"/>
              <w:ind w:leftChars="0" w:left="0" w:right="0"/>
              <w:keepNext/>
            </w:pPr>
            <w:r>
              <w:t>945,4</w:t>
            </w:r>
          </w:p>
        </w:tc>
        <w:tc>
          <w:tcPr>
            <w:cnfStyle w:evenVBand="true" w:oddVBand="false" w:firstColumn="false"/>
            <w:tcW w:w="11.434303%" w:type="pct"/>
          </w:tcPr>
          <w:p>
            <w:pPr>
              <w:pStyle w:val="table-level-1"/>
              <w:ind w:leftChars="0" w:left="0" w:right="0"/>
              <w:keepNext/>
            </w:pPr>
            <w:r>
              <w:t>825,2</w:t>
            </w:r>
          </w:p>
        </w:tc>
        <w:tc>
          <w:tcPr>
            <w:cnfStyle w:evenVBand="false" w:oddVBand="true" w:firstColumn="false"/>
            <w:tcW w:w="11.434303%" w:type="pct"/>
          </w:tcPr>
          <w:p>
            <w:pPr>
              <w:pStyle w:val="table-level-1"/>
              <w:ind w:leftChars="0" w:left="0" w:right="0"/>
              <w:keepNext/>
            </w:pPr>
            <w:r>
              <w:t>747</w:t>
            </w:r>
          </w:p>
        </w:tc>
        <w:tc>
          <w:tcPr>
            <w:cnfStyle w:evenVBand="true" w:oddVBand="false" w:firstColumn="false"/>
            <w:tcW w:w="11.434303%" w:type="pct"/>
          </w:tcPr>
          <w:p>
            <w:pPr>
              <w:pStyle w:val="table-level-1"/>
              <w:ind w:leftChars="0" w:left="0" w:right="0"/>
              <w:keepNext/>
            </w:pPr>
            <w:r>
              <w:t>731</w:t>
            </w:r>
          </w:p>
        </w:tc>
        <w:tc>
          <w:tcPr>
            <w:cnfStyle w:evenVBand="false" w:oddVBand="true" w:firstColumn="false"/>
            <w:tcW w:w="11.434303%" w:type="pct"/>
          </w:tcPr>
          <w:p>
            <w:pPr>
              <w:pStyle w:val="table-level-1"/>
              <w:ind w:leftChars="0" w:left="0" w:right="0"/>
              <w:keepNext/>
            </w:pPr>
            <w:r>
              <w:t>715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Crediti v/clienti</w:t>
            </w:r>
          </w:p>
        </w:tc>
        <w:tc>
          <w:tcPr>
            <w:cnfStyle w:evenVBand="true" w:oddVBand="false" w:firstColumn="false"/>
            <w:tcW w:w="11.434303%" w:type="pct"/>
          </w:tcPr>
          <w:p>
            <w:pPr>
              <w:pStyle w:val="table-level-0"/>
              <w:ind w:leftChars="0" w:left="0" w:right="0"/>
              <w:keepNext/>
            </w:pPr>
            <w:r>
              <w:t>1.028</w:t>
            </w:r>
          </w:p>
        </w:tc>
        <w:tc>
          <w:tcPr>
            <w:cnfStyle w:evenVBand="false" w:oddVBand="true" w:firstColumn="false"/>
            <w:tcW w:w="11.434303%" w:type="pct"/>
          </w:tcPr>
          <w:p>
            <w:pPr>
              <w:pStyle w:val="table-level-0"/>
              <w:ind w:leftChars="0" w:left="0" w:right="0"/>
              <w:keepNext/>
            </w:pPr>
            <w:r>
              <w:t>937,9</w:t>
            </w:r>
          </w:p>
        </w:tc>
        <w:tc>
          <w:tcPr>
            <w:cnfStyle w:evenVBand="true" w:oddVBand="false" w:firstColumn="false"/>
            <w:tcW w:w="11.434303%" w:type="pct"/>
          </w:tcPr>
          <w:p>
            <w:pPr>
              <w:pStyle w:val="table-level-0"/>
              <w:ind w:leftChars="0" w:left="0" w:right="0"/>
              <w:keepNext/>
            </w:pPr>
            <w:r>
              <w:t>822,8</w:t>
            </w:r>
          </w:p>
        </w:tc>
        <w:tc>
          <w:tcPr>
            <w:cnfStyle w:evenVBand="false" w:oddVBand="true" w:firstColumn="false"/>
            <w:tcW w:w="11.434303%" w:type="pct"/>
          </w:tcPr>
          <w:p>
            <w:pPr>
              <w:pStyle w:val="table-level-0"/>
              <w:ind w:leftChars="0" w:left="0" w:right="0"/>
              <w:keepNext/>
            </w:pPr>
            <w:r>
              <w:t>739,5</w:t>
            </w:r>
          </w:p>
        </w:tc>
        <w:tc>
          <w:tcPr>
            <w:cnfStyle w:evenVBand="true" w:oddVBand="false" w:firstColumn="false"/>
            <w:tcW w:w="11.434303%" w:type="pct"/>
          </w:tcPr>
          <w:p>
            <w:pPr>
              <w:pStyle w:val="table-level-0"/>
              <w:ind w:leftChars="0" w:left="0" w:right="0"/>
              <w:keepNext/>
            </w:pPr>
            <w:r>
              <w:t>735,5</w:t>
            </w:r>
          </w:p>
        </w:tc>
        <w:tc>
          <w:tcPr>
            <w:cnfStyle w:evenVBand="false" w:oddVBand="true" w:firstColumn="false"/>
            <w:tcW w:w="11.434303%" w:type="pct"/>
          </w:tcPr>
          <w:p>
            <w:pPr>
              <w:pStyle w:val="table-level-0"/>
              <w:ind w:leftChars="0" w:left="0" w:right="0"/>
              <w:keepNext/>
            </w:pPr>
            <w:r>
              <w:t>731,5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Acconti da clienti</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-19</w:t>
            </w:r>
          </w:p>
        </w:tc>
        <w:tc>
          <w:tcPr>
            <w:cnfStyle w:evenVBand="false" w:oddVBand="true" w:firstColumn="false"/>
            <w:tcW w:w="11.434303%" w:type="pct"/>
          </w:tcPr>
          <w:p>
            <w:pPr>
              <w:pStyle w:val="table-level-0"/>
              <w:ind w:leftChars="0" w:left="0" w:right="0"/>
              <w:keepNext/>
            </w:pPr>
            <w:r>
              <w:t>-23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crediti commerciali</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21</w:t>
            </w:r>
          </w:p>
        </w:tc>
        <w:tc>
          <w:tcPr>
            <w:cnfStyle w:evenVBand="false" w:oddVBand="true" w:firstColumn="false"/>
            <w:tcW w:w="11.434303%" w:type="pct"/>
          </w:tcPr>
          <w:p>
            <w:pPr>
              <w:pStyle w:val="table-level-0"/>
              <w:ind w:leftChars="0" w:left="0" w:right="0"/>
              <w:keepNext/>
            </w:pPr>
            <w:r>
              <w:t>17</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-4,5</w:t>
            </w:r>
          </w:p>
        </w:tc>
        <w:tc>
          <w:tcPr>
            <w:cnfStyle w:evenVBand="false" w:oddVBand="true" w:firstColumn="false"/>
            <w:tcW w:w="11.434303%" w:type="pct"/>
          </w:tcPr>
          <w:p>
            <w:pPr>
              <w:pStyle w:val="table-level-100"/>
              <w:ind w:leftChars="0" w:left="0" w:right="0"/>
              <w:keepNext/>
            </w:pPr>
            <w:r>
              <w:t>-4,5</w:t>
            </w:r>
          </w:p>
        </w:tc>
        <w:tc>
          <w:tcPr>
            <w:cnfStyle w:evenVBand="true" w:oddVBand="false" w:firstColumn="false"/>
            <w:tcW w:w="11.434303%" w:type="pct"/>
          </w:tcPr>
          <w:p>
            <w:pPr>
              <w:pStyle w:val="table-level-100"/>
              <w:ind w:leftChars="0" w:left="0" w:right="0"/>
              <w:keepNext/>
            </w:pPr>
            <w:r>
              <w:t>-2,5</w:t>
            </w:r>
          </w:p>
        </w:tc>
        <w:tc>
          <w:tcPr>
            <w:cnfStyle w:evenVBand="false" w:oddVBand="true" w:firstColumn="false"/>
            <w:tcW w:w="11.434303%" w:type="pct"/>
          </w:tcPr>
          <w:p>
            <w:pPr>
              <w:pStyle w:val="table-level-100"/>
              <w:ind w:leftChars="0" w:left="0" w:right="0"/>
              <w:keepNext/>
            </w:pPr>
            <w:r>
              <w:t>-2,5</w:t>
            </w:r>
          </w:p>
        </w:tc>
        <w:tc>
          <w:tcPr>
            <w:cnfStyle w:evenVBand="true" w:oddVBand="false" w:firstColumn="false"/>
            <w:tcW w:w="11.434303%" w:type="pct"/>
          </w:tcPr>
          <w:p>
            <w:pPr>
              <w:pStyle w:val="table-level-100"/>
              <w:ind w:leftChars="0" w:left="0" w:right="0"/>
              <w:keepNext/>
            </w:pPr>
            <w:r>
              <w:t>-6,5</w:t>
            </w:r>
          </w:p>
        </w:tc>
        <w:tc>
          <w:tcPr>
            <w:cnfStyle w:evenVBand="false" w:oddVBand="true" w:firstColumn="false"/>
            <w:tcW w:w="11.434303%" w:type="pct"/>
          </w:tcPr>
          <w:p>
            <w:pPr>
              <w:pStyle w:val="table-level-100"/>
              <w:ind w:leftChars="0" w:left="0" w:right="0"/>
              <w:keepNext/>
            </w:pPr>
            <w:r>
              <w:t>-10,5</w:t>
            </w:r>
          </w:p>
        </w:tc>
      </w:tr>
    </w:tbl>
    <w:p>
      <w:pPr>
        <w:pStyle w:val="TableBottomMargin"/>
      </w:pPr>
    </w:p>
    <w:p>
      <w:pPr>
        <w:pStyle w:val="BodyText"/>
        <w:ind w:leftChars="0" w:left="0" w:right="0"/>
      </w:pPr>
      <w:r>
        <w:t xml:space="preserve">Dal prospetto si evince che al 31 dicembre 2022 il valore della voce </w:t>
      </w:r>
      <w:r>
        <w:rPr>
          <w:i/>
          <w:iCs/>
        </w:rPr>
        <w:t>Crediti commerciali</w:t>
      </w:r>
      <w:r>
        <w:t xml:space="preserve"> è pari a € 1.003.500 ed è in crescita del 6% rispetto al 31 dicembre 2021.</w:t>
      </w:r>
    </w:p>
    <w:p>
      <w:pPr>
        <w:pStyle w:val="BodyText"/>
        <w:ind w:leftChars="0" w:left="0" w:right="0"/>
      </w:pPr>
      <w:r>
        <w:t xml:space="preserve">Il grafico seguente mostra l’analisi dell’andamento della voce </w:t>
      </w:r>
      <w:r>
        <w:rPr>
          <w:i/>
          <w:iCs/>
        </w:rPr>
        <w:t>Crediti commerciali</w:t>
      </w:r>
      <w:r>
        <w:t xml:space="preserve"> dal 31 dicembre 2017 al 31 dicembre 2022. Tale valore risulta in crescita del 40%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0" name="800465c909e33a3bf7394bffa27ab584.png" descr="_static/temp/800465c909e33a3bf7394bffa27ab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00465c909e33a3bf7394bffa27ab584.png" descr="_static/temp/800465c909e33a3bf7394bffa27ab584.png"/>
                    <pic:cNvPicPr>
                      <a:picLocks noChangeAspect="1" noChangeArrowheads="1"/>
                    </pic:cNvPicPr>
                  </pic:nvPicPr>
                  <pic:blipFill>
                    <a:blip xmlns:r="http://schemas.openxmlformats.org/officeDocument/2006/relationships" r:embed="rId3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commerciali</w:t>
      </w:r>
      <w:r>
        <w:t xml:space="preserve"> al 31 dicembre 2022, la componente più significativa è rappresentata dalla voce </w:t>
      </w:r>
      <w:r>
        <w:rPr>
          <w:i/>
          <w:iCs/>
        </w:rPr>
        <w:t>Crediti verso clienti</w:t>
      </w:r>
      <w:r>
        <w:t xml:space="preserve"> con un valore pari a 1.027.500 €. Il grafico seguente visualizza la ripartizione di tutte le componenti della voce </w:t>
      </w:r>
      <w:r>
        <w:rPr>
          <w:i/>
          <w:iCs/>
        </w:rPr>
        <w:t>Crediti commerciali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1" name="ee217ca5faab88bfc106bf06e70fd4dd.png" descr="_static/temp/ee217ca5faab88bfc106bf06e70fd4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e217ca5faab88bfc106bf06e70fd4dd.png" descr="_static/temp/ee217ca5faab88bfc106bf06e70fd4dd.png"/>
                    <pic:cNvPicPr>
                      <a:picLocks noChangeAspect="1" noChangeArrowheads="1"/>
                    </pic:cNvPicPr>
                  </pic:nvPicPr>
                  <pic:blipFill>
                    <a:blip xmlns:r="http://schemas.openxmlformats.org/officeDocument/2006/relationships" r:embed="rId34"/>
                    <a:srcRect/>
                    <a:stretch>
                      <a:fillRect/>
                    </a:stretch>
                  </pic:blipFill>
                  <pic:spPr bwMode="auto">
                    <a:xfrm>
                      <a:off x="0" y="0"/>
                      <a:ext cx="6476365" cy="3266766"/>
                    </a:xfrm>
                    <a:prstGeom prst="rect">
                      <a:avLst/>
                    </a:prstGeom>
                    <a:noFill/>
                  </pic:spPr>
                </pic:pic>
              </a:graphicData>
            </a:graphic>
          </wp:inline>
        </w:drawing>
      </w:r>
    </w:p>
    <w:bookmarkEnd w:id="483"/>
    <w:bookmarkEnd w:id="484"/>
    <w:bookmarkStart w:id="485" w:name="_e1ee61b34a2aceedb1eb0d06317343ff"/>
    <w:bookmarkStart w:id="486" w:name="_9aaa98447261e04b796e18b5c68f0b32"/>
    <w:p>
      <w:pPr>
        <w:pStyle w:val="Heading5"/>
        <w:keepNext/>
      </w:pPr>
      <w:r>
        <w:t>Debiti commerciali</w:t>
      </w:r>
    </w:p>
    <w:p>
      <w:pPr>
        <w:pStyle w:val="BodyText"/>
        <w:ind w:leftChars="0" w:left="0" w:right="0"/>
      </w:pPr>
      <w:r>
        <w:t xml:space="preserve">La presente sottosezione del </w:t>
      </w:r>
      <w:hyperlink w:anchor="_6576c980ee5bb496b2a04f7cdbfa80a3">
        <w:r>
          <w:rPr>
            <w:rStyle w:val="Hyperlink"/>
          </w:rPr>
          <w:t>Capitale circolante commerciale</w:t>
        </w:r>
      </w:hyperlink>
      <w:r>
        <w:t xml:space="preserve"> è dedicata ai debiti commerciali. Questi rappresentano debiti sorti in relazione alla fornitura di beni o servizi.</w:t>
      </w:r>
    </w:p>
    <w:p>
      <w:pPr>
        <w:pStyle w:val="BodyText"/>
        <w:ind w:leftChars="0" w:left="0" w:right="0"/>
      </w:pPr>
      <w:r>
        <w:t xml:space="preserve">Il prospetto seguente illustra il dettaglio analitico della voce </w:t>
      </w:r>
      <w:r>
        <w:rPr>
          <w:i/>
          <w:iCs/>
        </w:rPr>
        <w:t>Debiti commerciali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9aaa98447261e04b796e18b5c68f0b32">
              <w:r>
                <w:rPr>
                  <w:rStyle w:val="Hyperlink"/>
                </w:rPr>
                <w:t>Debiti commerciali</w:t>
              </w:r>
            </w:hyperlink>
          </w:p>
        </w:tc>
        <w:tc>
          <w:tcPr>
            <w:cnfStyle w:evenVBand="true" w:oddVBand="false" w:firstColumn="false"/>
            <w:tcW w:w="11.434303%" w:type="pct"/>
          </w:tcPr>
          <w:p>
            <w:pPr>
              <w:pStyle w:val="table-level-1"/>
              <w:ind w:leftChars="0" w:left="0" w:right="0"/>
              <w:keepNext/>
            </w:pPr>
            <w:r>
              <w:t>612,8</w:t>
            </w:r>
          </w:p>
        </w:tc>
        <w:tc>
          <w:tcPr>
            <w:cnfStyle w:evenVBand="false" w:oddVBand="true" w:firstColumn="false"/>
            <w:tcW w:w="11.434303%" w:type="pct"/>
          </w:tcPr>
          <w:p>
            <w:pPr>
              <w:pStyle w:val="table-level-1"/>
              <w:ind w:leftChars="0" w:left="0" w:right="0"/>
              <w:keepNext/>
            </w:pPr>
            <w:r>
              <w:t>507,8</w:t>
            </w:r>
          </w:p>
        </w:tc>
        <w:tc>
          <w:tcPr>
            <w:cnfStyle w:evenVBand="true" w:oddVBand="false" w:firstColumn="false"/>
            <w:tcW w:w="11.434303%" w:type="pct"/>
          </w:tcPr>
          <w:p>
            <w:pPr>
              <w:pStyle w:val="table-level-1"/>
              <w:ind w:leftChars="0" w:left="0" w:right="0"/>
              <w:keepNext/>
            </w:pPr>
            <w:r>
              <w:t>408</w:t>
            </w:r>
          </w:p>
        </w:tc>
        <w:tc>
          <w:tcPr>
            <w:cnfStyle w:evenVBand="false" w:oddVBand="true" w:firstColumn="false"/>
            <w:tcW w:w="11.434303%" w:type="pct"/>
          </w:tcPr>
          <w:p>
            <w:pPr>
              <w:pStyle w:val="table-level-1"/>
              <w:ind w:leftChars="0" w:left="0" w:right="0"/>
              <w:keepNext/>
            </w:pPr>
            <w:r>
              <w:t>502</w:t>
            </w:r>
          </w:p>
        </w:tc>
        <w:tc>
          <w:tcPr>
            <w:cnfStyle w:evenVBand="true" w:oddVBand="false" w:firstColumn="false"/>
            <w:tcW w:w="11.434303%" w:type="pct"/>
          </w:tcPr>
          <w:p>
            <w:pPr>
              <w:pStyle w:val="table-level-1"/>
              <w:ind w:leftChars="0" w:left="0" w:right="0"/>
              <w:keepNext/>
            </w:pPr>
            <w:r>
              <w:t>450</w:t>
            </w:r>
          </w:p>
        </w:tc>
        <w:tc>
          <w:tcPr>
            <w:cnfStyle w:evenVBand="false" w:oddVBand="true" w:firstColumn="false"/>
            <w:tcW w:w="11.434303%" w:type="pct"/>
          </w:tcPr>
          <w:p>
            <w:pPr>
              <w:pStyle w:val="table-level-1"/>
              <w:ind w:leftChars="0" w:left="0" w:right="0"/>
              <w:keepNext/>
            </w:pPr>
            <w:r>
              <w:t>165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commerciali v/fornitori</w:t>
            </w:r>
          </w:p>
        </w:tc>
        <w:tc>
          <w:tcPr>
            <w:cnfStyle w:evenVBand="true" w:oddVBand="false" w:firstColumn="false"/>
            <w:tcW w:w="11.434303%" w:type="pct"/>
          </w:tcPr>
          <w:p>
            <w:pPr>
              <w:pStyle w:val="table-level-0"/>
              <w:ind w:leftChars="0" w:left="0" w:right="0"/>
              <w:keepNext/>
            </w:pPr>
            <w:r>
              <w:t>612,8</w:t>
            </w:r>
          </w:p>
        </w:tc>
        <w:tc>
          <w:tcPr>
            <w:cnfStyle w:evenVBand="false" w:oddVBand="true" w:firstColumn="false"/>
            <w:tcW w:w="11.434303%" w:type="pct"/>
          </w:tcPr>
          <w:p>
            <w:pPr>
              <w:pStyle w:val="table-level-0"/>
              <w:ind w:leftChars="0" w:left="0" w:right="0"/>
              <w:keepNext/>
            </w:pPr>
            <w:r>
              <w:t>507,8</w:t>
            </w:r>
          </w:p>
        </w:tc>
        <w:tc>
          <w:tcPr>
            <w:cnfStyle w:evenVBand="true" w:oddVBand="false" w:firstColumn="false"/>
            <w:tcW w:w="11.434303%" w:type="pct"/>
          </w:tcPr>
          <w:p>
            <w:pPr>
              <w:pStyle w:val="table-level-0"/>
              <w:ind w:leftChars="0" w:left="0" w:right="0"/>
              <w:keepNext/>
            </w:pPr>
            <w:r>
              <w:t>408</w:t>
            </w:r>
          </w:p>
        </w:tc>
        <w:tc>
          <w:tcPr>
            <w:cnfStyle w:evenVBand="false" w:oddVBand="true" w:firstColumn="false"/>
            <w:tcW w:w="11.434303%" w:type="pct"/>
          </w:tcPr>
          <w:p>
            <w:pPr>
              <w:pStyle w:val="table-level-0"/>
              <w:ind w:leftChars="0" w:left="0" w:right="0"/>
              <w:keepNext/>
            </w:pPr>
            <w:r>
              <w:t>502</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165</w:t>
            </w:r>
          </w:p>
        </w:tc>
      </w:tr>
    </w:tbl>
    <w:p>
      <w:pPr>
        <w:pStyle w:val="TableBottomMargin"/>
      </w:pPr>
    </w:p>
    <w:p>
      <w:pPr>
        <w:pStyle w:val="BodyText"/>
        <w:ind w:leftChars="0" w:left="0" w:right="0"/>
      </w:pPr>
      <w:r>
        <w:t xml:space="preserve">Dal prospetto si evince che al 31 dicembre 2022 il valore della voce </w:t>
      </w:r>
      <w:r>
        <w:rPr>
          <w:i/>
          <w:iCs/>
        </w:rPr>
        <w:t>Debiti commerciali</w:t>
      </w:r>
      <w:r>
        <w:t xml:space="preserve"> è pari a € 612.750 ed è in crescita del 21% rispetto al 31 dicembre 2021.</w:t>
      </w:r>
    </w:p>
    <w:p>
      <w:pPr>
        <w:pStyle w:val="BodyText"/>
        <w:ind w:leftChars="0" w:left="0" w:right="0"/>
      </w:pPr>
      <w:r>
        <w:t xml:space="preserve">Il grafico seguente mostra l’analisi dell’andamento della voce </w:t>
      </w:r>
      <w:r>
        <w:rPr>
          <w:i/>
          <w:iCs/>
        </w:rPr>
        <w:t>Debiti commerciali</w:t>
      </w:r>
      <w:r>
        <w:t xml:space="preserve"> dal 31 dicembre 2017 al 31 dicembre 2022. Tale valore risulta in crescita del 271%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2" name="3ddc4c9f21318e9ff3cbe6e663ea80f7.png" descr="_static/temp/3ddc4c9f21318e9ff3cbe6e663ea80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3ddc4c9f21318e9ff3cbe6e663ea80f7.png" descr="_static/temp/3ddc4c9f21318e9ff3cbe6e663ea80f7.png"/>
                    <pic:cNvPicPr>
                      <a:picLocks noChangeAspect="1" noChangeArrowheads="1"/>
                    </pic:cNvPicPr>
                  </pic:nvPicPr>
                  <pic:blipFill>
                    <a:blip xmlns:r="http://schemas.openxmlformats.org/officeDocument/2006/relationships" r:embed="rId35"/>
                    <a:srcRect/>
                    <a:stretch>
                      <a:fillRect/>
                    </a:stretch>
                  </pic:blipFill>
                  <pic:spPr bwMode="auto">
                    <a:xfrm>
                      <a:off x="0" y="0"/>
                      <a:ext cx="6476365" cy="3266766"/>
                    </a:xfrm>
                    <a:prstGeom prst="rect">
                      <a:avLst/>
                    </a:prstGeom>
                    <a:noFill/>
                  </pic:spPr>
                </pic:pic>
              </a:graphicData>
            </a:graphic>
          </wp:inline>
        </w:drawing>
      </w:r>
    </w:p>
    <w:bookmarkEnd w:id="485"/>
    <w:bookmarkEnd w:id="486"/>
    <w:bookmarkEnd w:id="479"/>
    <w:bookmarkEnd w:id="480"/>
    <w:bookmarkStart w:id="487" w:name="_9d51e8e503978d3276c03f54ab25f0bd"/>
    <w:bookmarkStart w:id="488" w:name="_e4497fa2566b5a730f0e896f0313f87f"/>
    <w:p>
      <w:pPr>
        <w:pStyle w:val="Heading4"/>
        <w:keepNext/>
      </w:pPr>
      <w:r>
        <w:t>Crediti e debiti verso imprese infragruppo</w:t>
      </w:r>
    </w:p>
    <w:p>
      <w:pPr>
        <w:pStyle w:val="BodyText"/>
        <w:ind w:leftChars="0" w:left="0" w:right="0"/>
      </w:pPr>
      <w:r>
        <w:t xml:space="preserve">La presente sottosezione del </w:t>
      </w:r>
      <w:hyperlink w:anchor="_c281ee36b8fd5cc7495ba1bc9c8cc356">
        <w:r>
          <w:rPr>
            <w:rStyle w:val="Hyperlink"/>
          </w:rPr>
          <w:t>Capitale circolante netto</w:t>
        </w:r>
      </w:hyperlink>
      <w:r>
        <w:t xml:space="preserve"> è dedicata ai crediti e debiti verso imprese infragruppo. Questa voce è rappresentata dalla differenza di attività e passività di natura operativa verso imprese controllate, collegate, controllanti o sottoposte al controllo delle controllanti.</w:t>
      </w:r>
    </w:p>
    <w:p>
      <w:pPr>
        <w:pStyle w:val="BodyText"/>
        <w:ind w:leftChars="0" w:left="0" w:right="0"/>
      </w:pPr>
      <w:r>
        <w:t xml:space="preserve">Il prospetto seguente illustra il dettaglio analitico della voce </w:t>
      </w:r>
      <w:r>
        <w:rPr>
          <w:i/>
          <w:iCs/>
        </w:rPr>
        <w:t>Crediti e debiti verso imprese infragruppo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4497fa2566b5a730f0e896f0313f87f">
              <w:r>
                <w:rPr>
                  <w:rStyle w:val="Hyperlink"/>
                </w:rPr>
                <w:t>Crediti/debiti infragruppo</w:t>
              </w:r>
            </w:hyperlink>
          </w:p>
        </w:tc>
        <w:tc>
          <w:tcPr>
            <w:cnfStyle w:evenVBand="true" w:oddVBand="false" w:firstColumn="false"/>
            <w:tcW w:w="11.434303%" w:type="pct"/>
          </w:tcPr>
          <w:p>
            <w:pPr>
              <w:pStyle w:val="table-level-1"/>
              <w:ind w:leftChars="0" w:left="0" w:right="0"/>
              <w:keepNext/>
            </w:pPr>
            <w:r>
              <w:t>-9,2</w:t>
            </w:r>
          </w:p>
        </w:tc>
        <w:tc>
          <w:tcPr>
            <w:cnfStyle w:evenVBand="false" w:oddVBand="true" w:firstColumn="false"/>
            <w:tcW w:w="11.434303%" w:type="pct"/>
          </w:tcPr>
          <w:p>
            <w:pPr>
              <w:pStyle w:val="table-level-1"/>
              <w:ind w:leftChars="0" w:left="0" w:right="0"/>
              <w:keepNext/>
            </w:pPr>
            <w:r>
              <w:t>-5,7</w:t>
            </w:r>
          </w:p>
        </w:tc>
        <w:tc>
          <w:tcPr>
            <w:cnfStyle w:evenVBand="true" w:oddVBand="false" w:firstColumn="false"/>
            <w:tcW w:w="11.434303%" w:type="pct"/>
          </w:tcPr>
          <w:p>
            <w:pPr>
              <w:pStyle w:val="table-level-1"/>
              <w:ind w:leftChars="0" w:left="0" w:right="0"/>
              <w:keepNext/>
            </w:pPr>
            <w:r>
              <w:t>0,5</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5,5</w:t>
            </w:r>
          </w:p>
        </w:tc>
        <w:tc>
          <w:tcPr>
            <w:cnfStyle w:evenVBand="false" w:oddVBand="true" w:firstColumn="false"/>
            <w:tcW w:w="11.434303%" w:type="pct"/>
          </w:tcPr>
          <w:p>
            <w:pPr>
              <w:pStyle w:val="table-level-1"/>
              <w:ind w:leftChars="0" w:left="0" w:right="0"/>
              <w:keepNext/>
            </w:pPr>
            <w:r>
              <w:t>11,1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943c99268447e7193a844335d289a55">
              <w:r>
                <w:rPr>
                  <w:rStyle w:val="Hyperlink"/>
                </w:rPr>
                <w:t>Crediti v/imprese infragruppo</w:t>
              </w:r>
            </w:hyperlink>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9,3</w:t>
            </w:r>
          </w:p>
        </w:tc>
        <w:tc>
          <w:tcPr>
            <w:cnfStyle w:evenVBand="false" w:oddVBand="true" w:firstColumn="false"/>
            <w:tcW w:w="11.434303%" w:type="pct"/>
          </w:tcPr>
          <w:p>
            <w:pPr>
              <w:pStyle w:val="table-level-0"/>
              <w:ind w:leftChars="0" w:left="0" w:right="0"/>
              <w:keepNext/>
            </w:pPr>
            <w:r>
              <w:t>15,7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f72d4b4354ed67fb1b21e0cef41beee">
              <w:r>
                <w:rPr>
                  <w:rStyle w:val="Hyperlink"/>
                </w:rPr>
                <w:t>Debiti v/imprese infragruppo</w:t>
              </w:r>
            </w:hyperlink>
          </w:p>
        </w:tc>
        <w:tc>
          <w:tcPr>
            <w:cnfStyle w:evenVBand="true" w:oddVBand="false" w:firstColumn="false"/>
            <w:tcW w:w="11.434303%" w:type="pct"/>
          </w:tcPr>
          <w:p>
            <w:pPr>
              <w:pStyle w:val="table-level-0"/>
              <w:ind w:leftChars="0" w:left="0" w:right="0"/>
              <w:keepNext/>
            </w:pPr>
            <w:r>
              <w:t>-9,2</w:t>
            </w:r>
          </w:p>
        </w:tc>
        <w:tc>
          <w:tcPr>
            <w:cnfStyle w:evenVBand="false" w:oddVBand="true" w:firstColumn="false"/>
            <w:tcW w:w="11.434303%" w:type="pct"/>
          </w:tcPr>
          <w:p>
            <w:pPr>
              <w:pStyle w:val="table-level-0"/>
              <w:ind w:leftChars="0" w:left="0" w:right="0"/>
              <w:keepNext/>
            </w:pPr>
            <w:r>
              <w:t>-8,5</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-4,6</w:t>
            </w:r>
          </w:p>
        </w:tc>
      </w:tr>
    </w:tbl>
    <w:p>
      <w:pPr>
        <w:pStyle w:val="TableBottomMargin"/>
      </w:pPr>
    </w:p>
    <w:p>
      <w:pPr>
        <w:pStyle w:val="BodyText"/>
        <w:ind w:leftChars="0" w:left="0" w:right="0"/>
      </w:pPr>
      <w:r>
        <w:t xml:space="preserve">Dal prospetto si evince che al 31 dicembre 2022 il valore della voce </w:t>
      </w:r>
      <w:r>
        <w:rPr>
          <w:i/>
          <w:iCs/>
        </w:rPr>
        <w:t>Crediti e debiti verso imprese infragruppo</w:t>
      </w:r>
      <w:r>
        <w:t xml:space="preserve"> è pari a € -9.200 ed è in diminuzione del 61% rispetto al 31 dicembre 2021.</w:t>
      </w:r>
    </w:p>
    <w:p>
      <w:pPr>
        <w:pStyle w:val="BodyText"/>
        <w:ind w:leftChars="0" w:left="0" w:right="0"/>
      </w:pPr>
      <w:r>
        <w:t xml:space="preserve">Il grafico seguente mostra l’analisi dell’andamento della voce </w:t>
      </w:r>
      <w:r>
        <w:rPr>
          <w:i/>
          <w:iCs/>
        </w:rPr>
        <w:t>Crediti e debiti verso imprese infragruppo</w:t>
      </w:r>
      <w:r>
        <w:t xml:space="preserve"> dal 31 dicembre 2017 al 31 dicembre 2022. Tale valore risulta in diminuzione del 183%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3" name="09bc61e3c6e7be60ecbf8a5e994eb140.png" descr="_static/temp/09bc61e3c6e7be60ecbf8a5e994eb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9bc61e3c6e7be60ecbf8a5e994eb140.png" descr="_static/temp/09bc61e3c6e7be60ecbf8a5e994eb140.png"/>
                    <pic:cNvPicPr>
                      <a:picLocks noChangeAspect="1" noChangeArrowheads="1"/>
                    </pic:cNvPicPr>
                  </pic:nvPicPr>
                  <pic:blipFill>
                    <a:blip xmlns:r="http://schemas.openxmlformats.org/officeDocument/2006/relationships" r:embed="rId3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e debiti verso imprese infragruppo</w:t>
      </w:r>
      <w:r>
        <w:t xml:space="preserve"> al 31 dicembre 2022, la componente più significativa è rappresentata dalla voce </w:t>
      </w:r>
      <w:r>
        <w:rPr>
          <w:i/>
          <w:iCs/>
        </w:rPr>
        <w:t>Crediti verso imprese infragruppo</w:t>
      </w:r>
      <w:r>
        <w:t xml:space="preserve"> con un valore pari a 0 €. Il grafico seguente visualizza la ripartizione di tutte le componenti della voce </w:t>
      </w:r>
      <w:r>
        <w:rPr>
          <w:i/>
          <w:iCs/>
        </w:rPr>
        <w:t>Crediti e debiti verso imprese infragruppo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4" name="5ad741ff43c2755aebac1c5d88429ea5.png" descr="_static/temp/5ad741ff43c2755aebac1c5d88429e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5ad741ff43c2755aebac1c5d88429ea5.png" descr="_static/temp/5ad741ff43c2755aebac1c5d88429ea5.png"/>
                    <pic:cNvPicPr>
                      <a:picLocks noChangeAspect="1" noChangeArrowheads="1"/>
                    </pic:cNvPicPr>
                  </pic:nvPicPr>
                  <pic:blipFill>
                    <a:blip xmlns:r="http://schemas.openxmlformats.org/officeDocument/2006/relationships" r:embed="rId37"/>
                    <a:srcRect/>
                    <a:stretch>
                      <a:fillRect/>
                    </a:stretch>
                  </pic:blipFill>
                  <pic:spPr bwMode="auto">
                    <a:xfrm>
                      <a:off x="0" y="0"/>
                      <a:ext cx="6476365" cy="3266766"/>
                    </a:xfrm>
                    <a:prstGeom prst="rect">
                      <a:avLst/>
                    </a:prstGeom>
                    <a:noFill/>
                  </pic:spPr>
                </pic:pic>
              </a:graphicData>
            </a:graphic>
          </wp:inline>
        </w:drawing>
      </w:r>
    </w:p>
    <w:bookmarkStart w:id="489" w:name="_d8eb1286672b18d0304603d95007fe2a"/>
    <w:bookmarkStart w:id="490" w:name="_7943c99268447e7193a844335d289a55"/>
    <w:p>
      <w:pPr>
        <w:pStyle w:val="Heading5"/>
        <w:keepNext/>
      </w:pPr>
      <w:r>
        <w:t>Crediti verso imprese infragruppo</w:t>
      </w:r>
    </w:p>
    <w:p>
      <w:pPr>
        <w:pStyle w:val="BodyText"/>
        <w:ind w:leftChars="0" w:left="0" w:right="0"/>
      </w:pPr>
      <w:r>
        <w:t xml:space="preserve">La presente sottosezione dei </w:t>
      </w:r>
      <w:hyperlink w:anchor="_e4497fa2566b5a730f0e896f0313f87f">
        <w:r>
          <w:rPr>
            <w:rStyle w:val="Hyperlink"/>
          </w:rPr>
          <w:t>Crediti e debiti verso imprese infragruppo</w:t>
        </w:r>
      </w:hyperlink>
      <w:r>
        <w:t xml:space="preserve"> è dedicata ai crediti verso imprese infragruppo. Questi rappresentano crediti di natura operativa verso imprese controllate, collegate, controllanti o sottoposte al controllo delle controllanti.</w:t>
      </w:r>
    </w:p>
    <w:p>
      <w:pPr>
        <w:pStyle w:val="BodyText"/>
        <w:ind w:leftChars="0" w:left="0" w:right="0"/>
      </w:pPr>
      <w:r>
        <w:t xml:space="preserve">Il prospetto seguente illustra il dettaglio analitico della voce </w:t>
      </w:r>
      <w:r>
        <w:rPr>
          <w:i/>
          <w:iCs/>
        </w:rPr>
        <w:t>Crediti verso imprese infragruppo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943c99268447e7193a844335d289a55">
              <w:r>
                <w:rPr>
                  <w:rStyle w:val="Hyperlink"/>
                </w:rPr>
                <w:t>Crediti v/imprese infragruppo</w:t>
              </w:r>
            </w:hyperlink>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2,8</w:t>
            </w:r>
          </w:p>
        </w:tc>
        <w:tc>
          <w:tcPr>
            <w:cnfStyle w:evenVBand="true" w:oddVBand="false" w:firstColumn="false"/>
            <w:tcW w:w="11.434303%" w:type="pct"/>
          </w:tcPr>
          <w:p>
            <w:pPr>
              <w:pStyle w:val="table-level-1"/>
              <w:ind w:leftChars="0" w:left="0" w:right="0"/>
              <w:keepNext/>
            </w:pPr>
            <w:r>
              <w:t>7</w:t>
            </w:r>
          </w:p>
        </w:tc>
        <w:tc>
          <w:tcPr>
            <w:cnfStyle w:evenVBand="false" w:oddVBand="true" w:firstColumn="false"/>
            <w:tcW w:w="11.434303%" w:type="pct"/>
          </w:tcPr>
          <w:p>
            <w:pPr>
              <w:pStyle w:val="table-level-1"/>
              <w:ind w:leftChars="0" w:left="0" w:right="0"/>
              <w:keepNext/>
            </w:pPr>
            <w:r>
              <w:t>5</w:t>
            </w:r>
          </w:p>
        </w:tc>
        <w:tc>
          <w:tcPr>
            <w:cnfStyle w:evenVBand="true" w:oddVBand="false" w:firstColumn="false"/>
            <w:tcW w:w="11.434303%" w:type="pct"/>
          </w:tcPr>
          <w:p>
            <w:pPr>
              <w:pStyle w:val="table-level-1"/>
              <w:ind w:leftChars="0" w:left="0" w:right="0"/>
              <w:keepNext/>
            </w:pPr>
            <w:r>
              <w:t>9,3</w:t>
            </w:r>
          </w:p>
        </w:tc>
        <w:tc>
          <w:tcPr>
            <w:cnfStyle w:evenVBand="false" w:oddVBand="true" w:firstColumn="false"/>
            <w:tcW w:w="11.434303%" w:type="pct"/>
          </w:tcPr>
          <w:p>
            <w:pPr>
              <w:pStyle w:val="table-level-1"/>
              <w:ind w:leftChars="0" w:left="0" w:right="0"/>
              <w:keepNext/>
            </w:pPr>
            <w:r>
              <w:t>15,7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Crediti v/imprese controllate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3,4</w:t>
            </w:r>
          </w:p>
        </w:tc>
        <w:tc>
          <w:tcPr>
            <w:cnfStyle w:evenVBand="false" w:oddVBand="true" w:firstColumn="false"/>
            <w:tcW w:w="11.434303%" w:type="pct"/>
          </w:tcPr>
          <w:p>
            <w:pPr>
              <w:pStyle w:val="table-level-0"/>
              <w:ind w:leftChars="0" w:left="0" w:right="0"/>
              <w:keepNext/>
            </w:pPr>
            <w:r>
              <w:t>4,8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v/imprese collegate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2,9</w:t>
            </w:r>
          </w:p>
        </w:tc>
        <w:tc>
          <w:tcPr>
            <w:cnfStyle w:evenVBand="false" w:oddVBand="true" w:firstColumn="false"/>
            <w:tcW w:w="11.434303%" w:type="pct"/>
          </w:tcPr>
          <w:p>
            <w:pPr>
              <w:pStyle w:val="table-level-0"/>
              <w:ind w:leftChars="0" w:left="0" w:right="0"/>
              <w:keepNext/>
            </w:pPr>
            <w:r>
              <w:t>4,3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Crediti v/imprese controllanti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2,4</w:t>
            </w:r>
          </w:p>
        </w:tc>
        <w:tc>
          <w:tcPr>
            <w:cnfStyle w:evenVBand="false" w:oddVBand="true" w:firstColumn="false"/>
            <w:tcW w:w="11.434303%" w:type="pct"/>
          </w:tcPr>
          <w:p>
            <w:pPr>
              <w:pStyle w:val="table-level-0"/>
              <w:ind w:leftChars="0" w:left="0" w:right="0"/>
              <w:keepNext/>
            </w:pPr>
            <w:r>
              <w:t>3,8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v/sottoposte controllanti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1,9</w:t>
            </w:r>
          </w:p>
        </w:tc>
        <w:tc>
          <w:tcPr>
            <w:cnfStyle w:evenVBand="false" w:oddVBand="true" w:firstColumn="false"/>
            <w:tcW w:w="11.434303%" w:type="pct"/>
          </w:tcPr>
          <w:p>
            <w:pPr>
              <w:pStyle w:val="table-level-0"/>
              <w:ind w:leftChars="0" w:left="0" w:right="0"/>
              <w:keepNext/>
            </w:pPr>
            <w:r>
              <w:t>3,3</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-0,7</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-1,3</w:t>
            </w:r>
          </w:p>
        </w:tc>
        <w:tc>
          <w:tcPr>
            <w:cnfStyle w:evenVBand="false" w:oddVBand="true" w:firstColumn="false"/>
            <w:tcW w:w="11.434303%" w:type="pct"/>
          </w:tcPr>
          <w:p>
            <w:pPr>
              <w:pStyle w:val="table-level-100"/>
              <w:ind w:leftChars="0" w:left="0" w:right="0"/>
              <w:keepNext/>
            </w:pPr>
            <w:r>
              <w:t>-0,5</w:t>
            </w:r>
          </w:p>
        </w:tc>
      </w:tr>
    </w:tbl>
    <w:p>
      <w:pPr>
        <w:pStyle w:val="TableBottomMargin"/>
      </w:pPr>
    </w:p>
    <w:p>
      <w:pPr>
        <w:pStyle w:val="BodyText"/>
        <w:ind w:leftChars="0" w:left="0" w:right="0"/>
      </w:pPr>
      <w:r>
        <w:t xml:space="preserve">Dal prospetto si evince che al 31 dicembre 2022 il valore della voce </w:t>
      </w:r>
      <w:r>
        <w:rPr>
          <w:i/>
          <w:iCs/>
        </w:rPr>
        <w:t>Crediti verso imprese infragruppo</w:t>
      </w:r>
      <w:r>
        <w:t xml:space="preserve"> è pari a € 0 ed è in diminuzione del 100% rispetto al 31 dicembre 2021.</w:t>
      </w:r>
    </w:p>
    <w:p>
      <w:pPr>
        <w:pStyle w:val="BodyText"/>
        <w:ind w:leftChars="0" w:left="0" w:right="0"/>
      </w:pPr>
      <w:r>
        <w:t xml:space="preserve">Il grafico seguente mostra l’analisi dell’andamento della voce </w:t>
      </w:r>
      <w:r>
        <w:rPr>
          <w:i/>
          <w:iCs/>
        </w:rPr>
        <w:t>Crediti verso imprese infragruppo</w:t>
      </w:r>
      <w:r>
        <w:t xml:space="preserve"> dal 31 dicembre 2017 al 31 dicembre 2022. Tale valore risulta in diminuzione del 100%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5" name="6f668296c121892a401559e739ea8843.png" descr="_static/temp/6f668296c121892a401559e739ea8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f668296c121892a401559e739ea8843.png" descr="_static/temp/6f668296c121892a401559e739ea8843.png"/>
                    <pic:cNvPicPr>
                      <a:picLocks noChangeAspect="1" noChangeArrowheads="1"/>
                    </pic:cNvPicPr>
                  </pic:nvPicPr>
                  <pic:blipFill>
                    <a:blip xmlns:r="http://schemas.openxmlformats.org/officeDocument/2006/relationships" r:embed="rId3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verso imprese infragruppo</w:t>
      </w:r>
      <w:r>
        <w:t xml:space="preserve"> al 31 dicembre 2022, non vi sono componenti più significative poiché tutte le voci hanno un valore pari a 0 €. Il grafico seguente visualizza la ripartizione di tutte le componenti della voce </w:t>
      </w:r>
      <w:r>
        <w:rPr>
          <w:i/>
          <w:iCs/>
        </w:rPr>
        <w:t>Crediti verso imprese infragruppo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6" name="892e1a45d8e41017e36682efb2019668.png" descr="_static/temp/892e1a45d8e41017e36682efb2019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892e1a45d8e41017e36682efb2019668.png" descr="_static/temp/892e1a45d8e41017e36682efb2019668.png"/>
                    <pic:cNvPicPr>
                      <a:picLocks noChangeAspect="1" noChangeArrowheads="1"/>
                    </pic:cNvPicPr>
                  </pic:nvPicPr>
                  <pic:blipFill>
                    <a:blip xmlns:r="http://schemas.openxmlformats.org/officeDocument/2006/relationships" r:embed="rId39"/>
                    <a:srcRect/>
                    <a:stretch>
                      <a:fillRect/>
                    </a:stretch>
                  </pic:blipFill>
                  <pic:spPr bwMode="auto">
                    <a:xfrm>
                      <a:off x="0" y="0"/>
                      <a:ext cx="6476365" cy="3266766"/>
                    </a:xfrm>
                    <a:prstGeom prst="rect">
                      <a:avLst/>
                    </a:prstGeom>
                    <a:noFill/>
                  </pic:spPr>
                </pic:pic>
              </a:graphicData>
            </a:graphic>
          </wp:inline>
        </w:drawing>
      </w:r>
    </w:p>
    <w:bookmarkEnd w:id="489"/>
    <w:bookmarkEnd w:id="490"/>
    <w:bookmarkStart w:id="491" w:name="_c8cbabed736b3247c692d2ca8d14e7a9"/>
    <w:bookmarkStart w:id="492" w:name="_8f72d4b4354ed67fb1b21e0cef41beee"/>
    <w:p>
      <w:pPr>
        <w:pStyle w:val="Heading5"/>
        <w:keepNext/>
      </w:pPr>
      <w:r>
        <w:t>Debiti verso imprese infragruppo</w:t>
      </w:r>
    </w:p>
    <w:p>
      <w:pPr>
        <w:pStyle w:val="BodyText"/>
        <w:ind w:leftChars="0" w:left="0" w:right="0"/>
      </w:pPr>
      <w:r>
        <w:t xml:space="preserve">La presente sottosezione dei </w:t>
      </w:r>
      <w:hyperlink w:anchor="_e4497fa2566b5a730f0e896f0313f87f">
        <w:r>
          <w:rPr>
            <w:rStyle w:val="Hyperlink"/>
          </w:rPr>
          <w:t>Crediti e debiti verso imprese infragruppo</w:t>
        </w:r>
      </w:hyperlink>
      <w:r>
        <w:t xml:space="preserve"> è dedicata ai debiti verso imprese infragruppo. Questi rappresentano debiti di natura operativa verso imprese controllate, collegate, controllanti o sottoposte al controllo delle controllanti.</w:t>
      </w:r>
    </w:p>
    <w:p>
      <w:pPr>
        <w:pStyle w:val="BodyText"/>
        <w:ind w:leftChars="0" w:left="0" w:right="0"/>
      </w:pPr>
      <w:r>
        <w:t xml:space="preserve">Il prospetto seguente illustra il dettaglio analitico della voce </w:t>
      </w:r>
      <w:r>
        <w:rPr>
          <w:i/>
          <w:iCs/>
        </w:rPr>
        <w:t>Debiti verso imprese infragruppo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f72d4b4354ed67fb1b21e0cef41beee">
              <w:r>
                <w:rPr>
                  <w:rStyle w:val="Hyperlink"/>
                </w:rPr>
                <w:t>Debiti v/imprese infragruppo</w:t>
              </w:r>
            </w:hyperlink>
          </w:p>
        </w:tc>
        <w:tc>
          <w:tcPr>
            <w:cnfStyle w:evenVBand="true" w:oddVBand="false" w:firstColumn="false"/>
            <w:tcW w:w="11.434303%" w:type="pct"/>
          </w:tcPr>
          <w:p>
            <w:pPr>
              <w:pStyle w:val="table-level-1"/>
              <w:ind w:leftChars="0" w:left="0" w:right="0"/>
              <w:keepNext/>
            </w:pPr>
            <w:r>
              <w:t>9,2</w:t>
            </w:r>
          </w:p>
        </w:tc>
        <w:tc>
          <w:tcPr>
            <w:cnfStyle w:evenVBand="false" w:oddVBand="true" w:firstColumn="false"/>
            <w:tcW w:w="11.434303%" w:type="pct"/>
          </w:tcPr>
          <w:p>
            <w:pPr>
              <w:pStyle w:val="table-level-1"/>
              <w:ind w:leftChars="0" w:left="0" w:right="0"/>
              <w:keepNext/>
            </w:pPr>
            <w:r>
              <w:t>8,5</w:t>
            </w:r>
          </w:p>
        </w:tc>
        <w:tc>
          <w:tcPr>
            <w:cnfStyle w:evenVBand="true" w:oddVBand="false" w:firstColumn="false"/>
            <w:tcW w:w="11.434303%" w:type="pct"/>
          </w:tcPr>
          <w:p>
            <w:pPr>
              <w:pStyle w:val="table-level-1"/>
              <w:ind w:leftChars="0" w:left="0" w:right="0"/>
              <w:keepNext/>
            </w:pPr>
            <w:r>
              <w:t>6,5</w:t>
            </w:r>
          </w:p>
        </w:tc>
        <w:tc>
          <w:tcPr>
            <w:cnfStyle w:evenVBand="false" w:oddVBand="true" w:firstColumn="false"/>
            <w:tcW w:w="11.434303%" w:type="pct"/>
          </w:tcPr>
          <w:p>
            <w:pPr>
              <w:pStyle w:val="table-level-1"/>
              <w:ind w:leftChars="0" w:left="0" w:right="0"/>
              <w:keepNext/>
            </w:pPr>
            <w:r>
              <w:t>3</w:t>
            </w:r>
          </w:p>
        </w:tc>
        <w:tc>
          <w:tcPr>
            <w:cnfStyle w:evenVBand="true" w:oddVBand="false" w:firstColumn="false"/>
            <w:tcW w:w="11.434303%" w:type="pct"/>
          </w:tcPr>
          <w:p>
            <w:pPr>
              <w:pStyle w:val="table-level-1"/>
              <w:ind w:leftChars="0" w:left="0" w:right="0"/>
              <w:keepNext/>
            </w:pPr>
            <w:r>
              <w:t>3,8</w:t>
            </w:r>
          </w:p>
        </w:tc>
        <w:tc>
          <w:tcPr>
            <w:cnfStyle w:evenVBand="false" w:oddVBand="true" w:firstColumn="false"/>
            <w:tcW w:w="11.434303%" w:type="pct"/>
          </w:tcPr>
          <w:p>
            <w:pPr>
              <w:pStyle w:val="table-level-1"/>
              <w:ind w:leftChars="0" w:left="0" w:right="0"/>
              <w:keepNext/>
            </w:pPr>
            <w:r>
              <w:t>4,6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v/imprese controllate</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0,9</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Debiti v/imprese collegate</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0,9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v/imprese controllanti</w:t>
            </w:r>
          </w:p>
        </w:tc>
        <w:tc>
          <w:tcPr>
            <w:cnfStyle w:evenVBand="true" w:oddVBand="false" w:firstColumn="false"/>
            <w:tcW w:w="11.434303%" w:type="pct"/>
          </w:tcPr>
          <w:p>
            <w:pPr>
              <w:pStyle w:val="table-level-0"/>
              <w:ind w:leftChars="0" w:left="0" w:right="0"/>
              <w:keepNext/>
            </w:pPr>
            <w:r>
              <w:t>3,7</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1,4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Debiti v/sottoposte controllanti</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1,4</w:t>
            </w:r>
          </w:p>
        </w:tc>
      </w:tr>
    </w:tbl>
    <w:p>
      <w:pPr>
        <w:pStyle w:val="TableBottomMargin"/>
      </w:pPr>
    </w:p>
    <w:p>
      <w:pPr>
        <w:pStyle w:val="BodyText"/>
        <w:ind w:leftChars="0" w:left="0" w:right="0"/>
      </w:pPr>
      <w:r>
        <w:t xml:space="preserve">Dal prospetto si evince che al 31 dicembre 2022 il valore della voce </w:t>
      </w:r>
      <w:r>
        <w:rPr>
          <w:i/>
          <w:iCs/>
        </w:rPr>
        <w:t>Debiti verso imprese infragruppo</w:t>
      </w:r>
      <w:r>
        <w:t xml:space="preserve"> è pari a € 9.200 ed è in crescita del 8% rispetto al 31 dicembre 2021.</w:t>
      </w:r>
    </w:p>
    <w:p>
      <w:pPr>
        <w:pStyle w:val="BodyText"/>
        <w:ind w:leftChars="0" w:left="0" w:right="0"/>
      </w:pPr>
      <w:r>
        <w:t xml:space="preserve">Il grafico seguente mostra l’analisi dell’andamento della voce </w:t>
      </w:r>
      <w:r>
        <w:rPr>
          <w:i/>
          <w:iCs/>
        </w:rPr>
        <w:t>Debiti verso imprese infragruppo</w:t>
      </w:r>
      <w:r>
        <w:t xml:space="preserve"> dal 31 dicembre 2017 al 31 dicembre 2022. Tale valore risulta in crescita del 100%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7" name="6e32e906eb9a26179abaaef427a593d4.png" descr="_static/temp/6e32e906eb9a26179abaaef427a593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e32e906eb9a26179abaaef427a593d4.png" descr="_static/temp/6e32e906eb9a26179abaaef427a593d4.png"/>
                    <pic:cNvPicPr>
                      <a:picLocks noChangeAspect="1" noChangeArrowheads="1"/>
                    </pic:cNvPicPr>
                  </pic:nvPicPr>
                  <pic:blipFill>
                    <a:blip xmlns:r="http://schemas.openxmlformats.org/officeDocument/2006/relationships" r:embed="rId40"/>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Debiti verso imprese infragruppo</w:t>
      </w:r>
      <w:r>
        <w:t xml:space="preserve"> al 31 dicembre 2022, la componente più significativa è rappresentata dalla voce </w:t>
      </w:r>
      <w:r>
        <w:rPr>
          <w:i/>
          <w:iCs/>
        </w:rPr>
        <w:t>Debiti verso imprese controllanti</w:t>
      </w:r>
      <w:r>
        <w:t xml:space="preserve"> con un valore pari a 3.700 €. Il grafico seguente visualizza la ripartizione di tutte le componenti della voce </w:t>
      </w:r>
      <w:r>
        <w:rPr>
          <w:i/>
          <w:iCs/>
        </w:rPr>
        <w:t>Debiti verso imprese infragruppo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8" name="98f599441edd1ac013df597b7a021c29.png" descr="_static/temp/98f599441edd1ac013df597b7a021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8f599441edd1ac013df597b7a021c29.png" descr="_static/temp/98f599441edd1ac013df597b7a021c29.png"/>
                    <pic:cNvPicPr>
                      <a:picLocks noChangeAspect="1" noChangeArrowheads="1"/>
                    </pic:cNvPicPr>
                  </pic:nvPicPr>
                  <pic:blipFill>
                    <a:blip xmlns:r="http://schemas.openxmlformats.org/officeDocument/2006/relationships" r:embed="rId41"/>
                    <a:srcRect/>
                    <a:stretch>
                      <a:fillRect/>
                    </a:stretch>
                  </pic:blipFill>
                  <pic:spPr bwMode="auto">
                    <a:xfrm>
                      <a:off x="0" y="0"/>
                      <a:ext cx="6476365" cy="3266766"/>
                    </a:xfrm>
                    <a:prstGeom prst="rect">
                      <a:avLst/>
                    </a:prstGeom>
                    <a:noFill/>
                  </pic:spPr>
                </pic:pic>
              </a:graphicData>
            </a:graphic>
          </wp:inline>
        </w:drawing>
      </w:r>
    </w:p>
    <w:bookmarkEnd w:id="491"/>
    <w:bookmarkEnd w:id="492"/>
    <w:bookmarkEnd w:id="487"/>
    <w:bookmarkEnd w:id="488"/>
    <w:bookmarkStart w:id="493" w:name="_02695c4ef1d469cb6d9808909dcc6cda"/>
    <w:bookmarkStart w:id="494" w:name="_ed34e9d3f60f819748e342a0474f0b6e"/>
    <w:p>
      <w:pPr>
        <w:pStyle w:val="Heading4"/>
        <w:keepNext/>
      </w:pPr>
      <w:r>
        <w:t>Crediti e debiti tributari</w:t>
      </w:r>
    </w:p>
    <w:p>
      <w:pPr>
        <w:pStyle w:val="BodyText"/>
        <w:ind w:leftChars="0" w:left="0" w:right="0"/>
      </w:pPr>
      <w:r>
        <w:t xml:space="preserve">La presente sottosezione del </w:t>
      </w:r>
      <w:hyperlink w:anchor="_c281ee36b8fd5cc7495ba1bc9c8cc356">
        <w:r>
          <w:rPr>
            <w:rStyle w:val="Hyperlink"/>
          </w:rPr>
          <w:t>Capitale circolante netto</w:t>
        </w:r>
      </w:hyperlink>
      <w:r>
        <w:t xml:space="preserve"> è dedicata ai crediti e debiti tributari. Questa voce è rappresentata dalla differenza di attività e passività relative a imposte certe e di ammontare determinato.</w:t>
      </w:r>
    </w:p>
    <w:p>
      <w:pPr>
        <w:pStyle w:val="BodyText"/>
        <w:ind w:leftChars="0" w:left="0" w:right="0"/>
      </w:pPr>
      <w:r>
        <w:t xml:space="preserve">Il prospetto seguente illustra il dettaglio analitico della voce </w:t>
      </w:r>
      <w:r>
        <w:rPr>
          <w:i/>
          <w:iCs/>
        </w:rPr>
        <w:t>Crediti e debiti tributari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d34e9d3f60f819748e342a0474f0b6e">
              <w:r>
                <w:rPr>
                  <w:rStyle w:val="Hyperlink"/>
                </w:rPr>
                <w:t>Crediti/debiti tributari</w:t>
              </w:r>
            </w:hyperlink>
          </w:p>
        </w:tc>
        <w:tc>
          <w:tcPr>
            <w:cnfStyle w:evenVBand="true" w:oddVBand="false" w:firstColumn="false"/>
            <w:tcW w:w="11.434303%" w:type="pct"/>
          </w:tcPr>
          <w:p>
            <w:pPr>
              <w:pStyle w:val="table-level-1"/>
              <w:ind w:leftChars="0" w:left="0" w:right="0"/>
              <w:keepNext/>
            </w:pPr>
            <w:r>
              <w:t>-66,3</w:t>
            </w:r>
          </w:p>
        </w:tc>
        <w:tc>
          <w:tcPr>
            <w:cnfStyle w:evenVBand="false" w:oddVBand="true" w:firstColumn="false"/>
            <w:tcW w:w="11.434303%" w:type="pct"/>
          </w:tcPr>
          <w:p>
            <w:pPr>
              <w:pStyle w:val="table-level-1"/>
              <w:ind w:leftChars="0" w:left="0" w:right="0"/>
              <w:keepNext/>
            </w:pPr>
            <w:r>
              <w:t>-65,5</w:t>
            </w:r>
          </w:p>
        </w:tc>
        <w:tc>
          <w:tcPr>
            <w:cnfStyle w:evenVBand="true" w:oddVBand="false" w:firstColumn="false"/>
            <w:tcW w:w="11.434303%" w:type="pct"/>
          </w:tcPr>
          <w:p>
            <w:pPr>
              <w:pStyle w:val="table-level-1"/>
              <w:ind w:leftChars="0" w:left="0" w:right="0"/>
              <w:keepNext/>
            </w:pPr>
            <w:r>
              <w:t>-45,2</w:t>
            </w:r>
          </w:p>
        </w:tc>
        <w:tc>
          <w:tcPr>
            <w:cnfStyle w:evenVBand="false" w:oddVBand="true" w:firstColumn="false"/>
            <w:tcW w:w="11.434303%" w:type="pct"/>
          </w:tcPr>
          <w:p>
            <w:pPr>
              <w:pStyle w:val="table-level-1"/>
              <w:ind w:leftChars="0" w:left="0" w:right="0"/>
              <w:keepNext/>
            </w:pPr>
            <w:r>
              <w:t>-22,9</w:t>
            </w:r>
          </w:p>
        </w:tc>
        <w:tc>
          <w:tcPr>
            <w:cnfStyle w:evenVBand="true" w:oddVBand="false" w:firstColumn="false"/>
            <w:tcW w:w="11.434303%" w:type="pct"/>
          </w:tcPr>
          <w:p>
            <w:pPr>
              <w:pStyle w:val="table-level-1"/>
              <w:ind w:leftChars="0" w:left="0" w:right="0"/>
              <w:keepNext/>
            </w:pPr>
            <w:r>
              <w:t>-22,6</w:t>
            </w:r>
          </w:p>
        </w:tc>
        <w:tc>
          <w:tcPr>
            <w:cnfStyle w:evenVBand="false" w:oddVBand="true" w:firstColumn="false"/>
            <w:tcW w:w="11.434303%" w:type="pct"/>
          </w:tcPr>
          <w:p>
            <w:pPr>
              <w:pStyle w:val="table-level-1"/>
              <w:ind w:leftChars="0" w:left="0" w:right="0"/>
              <w:keepNext/>
            </w:pPr>
            <w:r>
              <w:t>-3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b61fe1a99c37a37b8db60783a548fb26">
              <w:r>
                <w:rPr>
                  <w:rStyle w:val="Hyperlink"/>
                </w:rPr>
                <w:t>Crediti/debiti tributari IRES</w:t>
              </w:r>
            </w:hyperlink>
          </w:p>
        </w:tc>
        <w:tc>
          <w:tcPr>
            <w:cnfStyle w:evenVBand="true" w:oddVBand="false" w:firstColumn="false"/>
            <w:tcW w:w="11.434303%" w:type="pct"/>
          </w:tcPr>
          <w:p>
            <w:pPr>
              <w:pStyle w:val="table-level-0"/>
              <w:ind w:leftChars="0" w:left="0" w:right="0"/>
              <w:keepNext/>
            </w:pPr>
            <w:r>
              <w:t>-51,9</w:t>
            </w:r>
          </w:p>
        </w:tc>
        <w:tc>
          <w:tcPr>
            <w:cnfStyle w:evenVBand="false" w:oddVBand="true" w:firstColumn="false"/>
            <w:tcW w:w="11.434303%" w:type="pct"/>
          </w:tcPr>
          <w:p>
            <w:pPr>
              <w:pStyle w:val="table-level-0"/>
              <w:ind w:leftChars="0" w:left="0" w:right="0"/>
              <w:keepNext/>
            </w:pPr>
            <w:r>
              <w:t>-44,7</w:t>
            </w:r>
          </w:p>
        </w:tc>
        <w:tc>
          <w:tcPr>
            <w:cnfStyle w:evenVBand="true" w:oddVBand="false" w:firstColumn="false"/>
            <w:tcW w:w="11.434303%" w:type="pct"/>
          </w:tcPr>
          <w:p>
            <w:pPr>
              <w:pStyle w:val="table-level-0"/>
              <w:ind w:leftChars="0" w:left="0" w:right="0"/>
              <w:keepNext/>
            </w:pPr>
            <w:r>
              <w:t>-45,7</w:t>
            </w:r>
          </w:p>
        </w:tc>
        <w:tc>
          <w:tcPr>
            <w:cnfStyle w:evenVBand="false" w:oddVBand="true" w:firstColumn="false"/>
            <w:tcW w:w="11.434303%" w:type="pct"/>
          </w:tcPr>
          <w:p>
            <w:pPr>
              <w:pStyle w:val="table-level-0"/>
              <w:ind w:leftChars="0" w:left="0" w:right="0"/>
              <w:keepNext/>
            </w:pPr>
            <w:r>
              <w:t>-46,1</w:t>
            </w:r>
          </w:p>
        </w:tc>
        <w:tc>
          <w:tcPr>
            <w:cnfStyle w:evenVBand="true" w:oddVBand="false" w:firstColumn="false"/>
            <w:tcW w:w="11.434303%" w:type="pct"/>
          </w:tcPr>
          <w:p>
            <w:pPr>
              <w:pStyle w:val="table-level-0"/>
              <w:ind w:leftChars="0" w:left="0" w:right="0"/>
              <w:keepNext/>
            </w:pPr>
            <w:r>
              <w:t>-44,5</w:t>
            </w:r>
          </w:p>
        </w:tc>
        <w:tc>
          <w:tcPr>
            <w:cnfStyle w:evenVBand="false" w:oddVBand="true" w:firstColumn="false"/>
            <w:tcW w:w="11.434303%" w:type="pct"/>
          </w:tcPr>
          <w:p>
            <w:pPr>
              <w:pStyle w:val="table-level-0"/>
              <w:ind w:leftChars="0" w:left="0" w:right="0"/>
              <w:keepNext/>
            </w:pPr>
            <w:r>
              <w:t>-40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dc1679a8790a90ea343b1bcdeaf05d6a">
              <w:r>
                <w:rPr>
                  <w:rStyle w:val="Hyperlink"/>
                </w:rPr>
                <w:t>Crediti/debiti tributari IRAP</w:t>
              </w:r>
            </w:hyperlink>
          </w:p>
        </w:tc>
        <w:tc>
          <w:tcPr>
            <w:cnfStyle w:evenVBand="true" w:oddVBand="false" w:firstColumn="false"/>
            <w:tcW w:w="11.434303%" w:type="pct"/>
          </w:tcPr>
          <w:p>
            <w:pPr>
              <w:pStyle w:val="table-level-0"/>
              <w:ind w:leftChars="0" w:left="0" w:right="0"/>
              <w:keepNext/>
            </w:pPr>
            <w:r>
              <w:t>-27</w:t>
            </w:r>
          </w:p>
        </w:tc>
        <w:tc>
          <w:tcPr>
            <w:cnfStyle w:evenVBand="false" w:oddVBand="true" w:firstColumn="false"/>
            <w:tcW w:w="11.434303%" w:type="pct"/>
          </w:tcPr>
          <w:p>
            <w:pPr>
              <w:pStyle w:val="table-level-0"/>
              <w:ind w:leftChars="0" w:left="0" w:right="0"/>
              <w:keepNext/>
            </w:pPr>
            <w:r>
              <w:t>-21,2</w:t>
            </w:r>
          </w:p>
        </w:tc>
        <w:tc>
          <w:tcPr>
            <w:cnfStyle w:evenVBand="true" w:oddVBand="false" w:firstColumn="false"/>
            <w:tcW w:w="11.434303%" w:type="pct"/>
          </w:tcPr>
          <w:p>
            <w:pPr>
              <w:pStyle w:val="table-level-0"/>
              <w:ind w:leftChars="0" w:left="0" w:right="0"/>
              <w:keepNext/>
            </w:pPr>
            <w:r>
              <w:t>-11,8</w:t>
            </w:r>
          </w:p>
        </w:tc>
        <w:tc>
          <w:tcPr>
            <w:cnfStyle w:evenVBand="false" w:oddVBand="true" w:firstColumn="false"/>
            <w:tcW w:w="11.434303%" w:type="pct"/>
          </w:tcPr>
          <w:p>
            <w:pPr>
              <w:pStyle w:val="table-level-0"/>
              <w:ind w:leftChars="0" w:left="0" w:right="0"/>
              <w:keepNext/>
            </w:pPr>
            <w:r>
              <w:t>-5,2</w:t>
            </w:r>
          </w:p>
        </w:tc>
        <w:tc>
          <w:tcPr>
            <w:cnfStyle w:evenVBand="true" w:oddVBand="false" w:firstColumn="false"/>
            <w:tcW w:w="11.434303%" w:type="pct"/>
          </w:tcPr>
          <w:p>
            <w:pPr>
              <w:pStyle w:val="table-level-0"/>
              <w:ind w:leftChars="0" w:left="0" w:right="0"/>
              <w:keepNext/>
            </w:pPr>
            <w:r>
              <w:t>-3,6</w:t>
            </w:r>
          </w:p>
        </w:tc>
        <w:tc>
          <w:tcPr>
            <w:cnfStyle w:evenVBand="false" w:oddVBand="true" w:firstColumn="false"/>
            <w:tcW w:w="11.434303%" w:type="pct"/>
          </w:tcPr>
          <w:p>
            <w:pPr>
              <w:pStyle w:val="table-level-0"/>
              <w:ind w:leftChars="0" w:left="0" w:right="0"/>
              <w:keepNext/>
            </w:pPr>
            <w:r>
              <w:t>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b3d10a43d2e278e4948e0e5ed0f4c8e">
              <w:r>
                <w:rPr>
                  <w:rStyle w:val="Hyperlink"/>
                </w:rPr>
                <w:t>Crediti/debiti IVA</w:t>
              </w:r>
            </w:hyperlink>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6,5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51bf46f5e3e5f38d32fbaca50a63e5e1">
              <w:r>
                <w:rPr>
                  <w:rStyle w:val="Hyperlink"/>
                </w:rPr>
                <w:t>Anticipate e altri tributari</w:t>
              </w:r>
            </w:hyperlink>
          </w:p>
        </w:tc>
        <w:tc>
          <w:tcPr>
            <w:cnfStyle w:evenVBand="true" w:oddVBand="false" w:firstColumn="false"/>
            <w:tcW w:w="11.434303%" w:type="pct"/>
          </w:tcPr>
          <w:p>
            <w:pPr>
              <w:pStyle w:val="table-level-0"/>
              <w:ind w:leftChars="0" w:left="0" w:right="0"/>
              <w:keepNext/>
            </w:pPr>
            <w:r>
              <w:t>15,6</w:t>
            </w:r>
          </w:p>
        </w:tc>
        <w:tc>
          <w:tcPr>
            <w:cnfStyle w:evenVBand="false" w:oddVBand="true" w:firstColumn="false"/>
            <w:tcW w:w="11.434303%" w:type="pct"/>
          </w:tcPr>
          <w:p>
            <w:pPr>
              <w:pStyle w:val="table-level-0"/>
              <w:ind w:leftChars="0" w:left="0" w:right="0"/>
              <w:keepNext/>
            </w:pPr>
            <w:r>
              <w:t>10,4</w:t>
            </w:r>
          </w:p>
        </w:tc>
        <w:tc>
          <w:tcPr>
            <w:cnfStyle w:evenVBand="true" w:oddVBand="false" w:firstColumn="false"/>
            <w:tcW w:w="11.434303%" w:type="pct"/>
          </w:tcPr>
          <w:p>
            <w:pPr>
              <w:pStyle w:val="table-level-0"/>
              <w:ind w:leftChars="0" w:left="0" w:right="0"/>
              <w:keepNext/>
            </w:pPr>
            <w:r>
              <w:t>12,3</w:t>
            </w:r>
          </w:p>
        </w:tc>
        <w:tc>
          <w:tcPr>
            <w:cnfStyle w:evenVBand="false" w:oddVBand="true" w:firstColumn="false"/>
            <w:tcW w:w="11.434303%" w:type="pct"/>
          </w:tcPr>
          <w:p>
            <w:pPr>
              <w:pStyle w:val="table-level-0"/>
              <w:ind w:leftChars="0" w:left="0" w:right="0"/>
              <w:keepNext/>
            </w:pPr>
            <w:r>
              <w:t>18,9</w:t>
            </w:r>
          </w:p>
        </w:tc>
        <w:tc>
          <w:tcPr>
            <w:cnfStyle w:evenVBand="true" w:oddVBand="false" w:firstColumn="false"/>
            <w:tcW w:w="11.434303%" w:type="pct"/>
          </w:tcPr>
          <w:p>
            <w:pPr>
              <w:pStyle w:val="table-level-0"/>
              <w:ind w:leftChars="0" w:left="0" w:right="0"/>
              <w:keepNext/>
            </w:pPr>
            <w:r>
              <w:t>22,5</w:t>
            </w:r>
          </w:p>
        </w:tc>
        <w:tc>
          <w:tcPr>
            <w:cnfStyle w:evenVBand="false" w:oddVBand="true" w:firstColumn="false"/>
            <w:tcW w:w="11.434303%" w:type="pct"/>
          </w:tcPr>
          <w:p>
            <w:pPr>
              <w:pStyle w:val="table-level-0"/>
              <w:ind w:leftChars="0" w:left="0" w:right="0"/>
              <w:keepNext/>
            </w:pPr>
            <w:r>
              <w:t>28,5</w:t>
            </w:r>
          </w:p>
        </w:tc>
      </w:tr>
    </w:tbl>
    <w:p>
      <w:pPr>
        <w:pStyle w:val="TableBottomMargin"/>
      </w:pPr>
    </w:p>
    <w:p>
      <w:pPr>
        <w:pStyle w:val="BodyText"/>
        <w:ind w:leftChars="0" w:left="0" w:right="0"/>
      </w:pPr>
      <w:r>
        <w:t xml:space="preserve">Dal prospetto si evince che al 31 dicembre 2022 il valore della voce </w:t>
      </w:r>
      <w:r>
        <w:rPr>
          <w:i/>
          <w:iCs/>
        </w:rPr>
        <w:t>Crediti e debiti tributari</w:t>
      </w:r>
      <w:r>
        <w:t xml:space="preserve"> è pari a € -66.300 ed è in diminuzione del 1% rispetto al 31 dicembre 2021.</w:t>
      </w:r>
    </w:p>
    <w:p>
      <w:pPr>
        <w:pStyle w:val="BodyText"/>
        <w:ind w:leftChars="0" w:left="0" w:right="0"/>
      </w:pPr>
      <w:r>
        <w:t xml:space="preserve">Il grafico seguente mostra l’analisi dell’andamento della voce </w:t>
      </w:r>
      <w:r>
        <w:rPr>
          <w:i/>
          <w:iCs/>
        </w:rPr>
        <w:t>Crediti e debiti tributari</w:t>
      </w:r>
      <w:r>
        <w:t xml:space="preserve"> dal 31 dicembre 2017 al 31 dicembre 2022. Tale valore risulta in diminuzione del 2.110%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19" name="05b54160d62d2cdd74efc8a192e69d1f.png" descr="_static/temp/05b54160d62d2cdd74efc8a192e69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5b54160d62d2cdd74efc8a192e69d1f.png" descr="_static/temp/05b54160d62d2cdd74efc8a192e69d1f.png"/>
                    <pic:cNvPicPr>
                      <a:picLocks noChangeAspect="1" noChangeArrowheads="1"/>
                    </pic:cNvPicPr>
                  </pic:nvPicPr>
                  <pic:blipFill>
                    <a:blip xmlns:r="http://schemas.openxmlformats.org/officeDocument/2006/relationships" r:embed="rId42"/>
                    <a:srcRect/>
                    <a:stretch>
                      <a:fillRect/>
                    </a:stretch>
                  </pic:blipFill>
                  <pic:spPr bwMode="auto">
                    <a:xfrm>
                      <a:off x="0" y="0"/>
                      <a:ext cx="6476365" cy="3266766"/>
                    </a:xfrm>
                    <a:prstGeom prst="rect">
                      <a:avLst/>
                    </a:prstGeom>
                    <a:noFill/>
                  </pic:spPr>
                </pic:pic>
              </a:graphicData>
            </a:graphic>
          </wp:inline>
        </w:drawing>
      </w:r>
    </w:p>
    <w:bookmarkStart w:id="495" w:name="_7a72fb2831586b80daedd6147465a0bf"/>
    <w:bookmarkStart w:id="496" w:name="_b61fe1a99c37a37b8db60783a548fb26"/>
    <w:p>
      <w:pPr>
        <w:pStyle w:val="Heading5"/>
        <w:keepNext/>
      </w:pPr>
      <w:r>
        <w:t>Crediti e debiti IRES</w:t>
      </w:r>
    </w:p>
    <w:p>
      <w:pPr>
        <w:pStyle w:val="BodyText"/>
        <w:ind w:leftChars="0" w:left="0" w:right="0"/>
      </w:pPr>
      <w:r>
        <w:t xml:space="preserve">La presente sottosezione dei </w:t>
      </w:r>
      <w:hyperlink w:anchor="_ed34e9d3f60f819748e342a0474f0b6e">
        <w:r>
          <w:rPr>
            <w:rStyle w:val="Hyperlink"/>
          </w:rPr>
          <w:t>Crediti e dei debiti tributari</w:t>
        </w:r>
      </w:hyperlink>
      <w:r>
        <w:t xml:space="preserve"> è dedicata ai crediti e debiti IRES. Questa voce è rappresentata dalla differenza tra crediti e debiti relativi a IRES.</w:t>
      </w:r>
    </w:p>
    <w:p>
      <w:pPr>
        <w:pStyle w:val="BodyText"/>
        <w:ind w:leftChars="0" w:left="0" w:right="0"/>
      </w:pPr>
      <w:r>
        <w:t xml:space="preserve">Il prospetto seguente illustra il dettaglio analitico della voce </w:t>
      </w:r>
      <w:r>
        <w:rPr>
          <w:i/>
          <w:iCs/>
        </w:rPr>
        <w:t>Crediti e debiti IRES</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b61fe1a99c37a37b8db60783a548fb26">
              <w:r>
                <w:rPr>
                  <w:rStyle w:val="Hyperlink"/>
                </w:rPr>
                <w:t>Crediti/debiti tributari IRES</w:t>
              </w:r>
            </w:hyperlink>
          </w:p>
        </w:tc>
        <w:tc>
          <w:tcPr>
            <w:cnfStyle w:evenVBand="true" w:oddVBand="false" w:firstColumn="false"/>
            <w:tcW w:w="11.434303%" w:type="pct"/>
          </w:tcPr>
          <w:p>
            <w:pPr>
              <w:pStyle w:val="table-level-1"/>
              <w:ind w:leftChars="0" w:left="0" w:right="0"/>
              <w:keepNext/>
            </w:pPr>
            <w:r>
              <w:t>-51,9</w:t>
            </w:r>
          </w:p>
        </w:tc>
        <w:tc>
          <w:tcPr>
            <w:cnfStyle w:evenVBand="false" w:oddVBand="true" w:firstColumn="false"/>
            <w:tcW w:w="11.434303%" w:type="pct"/>
          </w:tcPr>
          <w:p>
            <w:pPr>
              <w:pStyle w:val="table-level-1"/>
              <w:ind w:leftChars="0" w:left="0" w:right="0"/>
              <w:keepNext/>
            </w:pPr>
            <w:r>
              <w:t>-44,7</w:t>
            </w:r>
          </w:p>
        </w:tc>
        <w:tc>
          <w:tcPr>
            <w:cnfStyle w:evenVBand="true" w:oddVBand="false" w:firstColumn="false"/>
            <w:tcW w:w="11.434303%" w:type="pct"/>
          </w:tcPr>
          <w:p>
            <w:pPr>
              <w:pStyle w:val="table-level-1"/>
              <w:ind w:leftChars="0" w:left="0" w:right="0"/>
              <w:keepNext/>
            </w:pPr>
            <w:r>
              <w:t>-45,7</w:t>
            </w:r>
          </w:p>
        </w:tc>
        <w:tc>
          <w:tcPr>
            <w:cnfStyle w:evenVBand="false" w:oddVBand="true" w:firstColumn="false"/>
            <w:tcW w:w="11.434303%" w:type="pct"/>
          </w:tcPr>
          <w:p>
            <w:pPr>
              <w:pStyle w:val="table-level-1"/>
              <w:ind w:leftChars="0" w:left="0" w:right="0"/>
              <w:keepNext/>
            </w:pPr>
            <w:r>
              <w:t>-46,1</w:t>
            </w:r>
          </w:p>
        </w:tc>
        <w:tc>
          <w:tcPr>
            <w:cnfStyle w:evenVBand="true" w:oddVBand="false" w:firstColumn="false"/>
            <w:tcW w:w="11.434303%" w:type="pct"/>
          </w:tcPr>
          <w:p>
            <w:pPr>
              <w:pStyle w:val="table-level-1"/>
              <w:ind w:leftChars="0" w:left="0" w:right="0"/>
              <w:keepNext/>
            </w:pPr>
            <w:r>
              <w:t>-44,5</w:t>
            </w:r>
          </w:p>
        </w:tc>
        <w:tc>
          <w:tcPr>
            <w:cnfStyle w:evenVBand="false" w:oddVBand="true" w:firstColumn="false"/>
            <w:tcW w:w="11.434303%" w:type="pct"/>
          </w:tcPr>
          <w:p>
            <w:pPr>
              <w:pStyle w:val="table-level-1"/>
              <w:ind w:leftChars="0" w:left="0" w:right="0"/>
              <w:keepNext/>
            </w:pPr>
            <w:r>
              <w:t>-40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Acconti d’imposta IRES</w:t>
            </w:r>
          </w:p>
        </w:tc>
        <w:tc>
          <w:tcPr>
            <w:cnfStyle w:evenVBand="true" w:oddVBand="false" w:firstColumn="false"/>
            <w:tcW w:w="11.434303%" w:type="pct"/>
          </w:tcPr>
          <w:p>
            <w:pPr>
              <w:pStyle w:val="table-level-0"/>
              <w:ind w:leftChars="0" w:left="0" w:right="0"/>
              <w:keepNext/>
            </w:pPr>
            <w:r>
              <w:t>33</w:t>
            </w:r>
          </w:p>
        </w:tc>
        <w:tc>
          <w:tcPr>
            <w:cnfStyle w:evenVBand="false" w:oddVBand="true" w:firstColumn="false"/>
            <w:tcW w:w="11.434303%" w:type="pct"/>
          </w:tcPr>
          <w:p>
            <w:pPr>
              <w:pStyle w:val="table-level-0"/>
              <w:ind w:leftChars="0" w:left="0" w:right="0"/>
              <w:keepNext/>
            </w:pPr>
            <w:r>
              <w:t>30,6</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26,5</w:t>
            </w:r>
          </w:p>
        </w:tc>
        <w:tc>
          <w:tcPr>
            <w:cnfStyle w:evenVBand="false" w:oddVBand="true" w:firstColumn="false"/>
            <w:tcW w:w="11.434303%" w:type="pct"/>
          </w:tcPr>
          <w:p>
            <w:pPr>
              <w:pStyle w:val="table-level-0"/>
              <w:ind w:leftChars="0" w:left="0" w:right="0"/>
              <w:keepNext/>
            </w:pPr>
            <w:r>
              <w:t>28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per IRES</w:t>
            </w:r>
          </w:p>
        </w:tc>
        <w:tc>
          <w:tcPr>
            <w:cnfStyle w:evenVBand="true" w:oddVBand="false" w:firstColumn="false"/>
            <w:tcW w:w="11.434303%" w:type="pct"/>
          </w:tcPr>
          <w:p>
            <w:pPr>
              <w:pStyle w:val="table-level-0"/>
              <w:ind w:leftChars="0" w:left="0" w:right="0"/>
              <w:keepNext/>
            </w:pPr>
            <w:r>
              <w:t>5,1</w:t>
            </w:r>
          </w:p>
        </w:tc>
        <w:tc>
          <w:tcPr>
            <w:cnfStyle w:evenVBand="false" w:oddVBand="true" w:firstColumn="false"/>
            <w:tcW w:w="11.434303%" w:type="pct"/>
          </w:tcPr>
          <w:p>
            <w:pPr>
              <w:pStyle w:val="table-level-0"/>
              <w:ind w:leftChars="0" w:left="0" w:right="0"/>
              <w:keepNext/>
            </w:pPr>
            <w:r>
              <w:t>4,7</w:t>
            </w:r>
          </w:p>
        </w:tc>
        <w:tc>
          <w:tcPr>
            <w:cnfStyle w:evenVBand="true" w:oddVBand="false" w:firstColumn="false"/>
            <w:tcW w:w="11.434303%" w:type="pct"/>
          </w:tcPr>
          <w:p>
            <w:pPr>
              <w:pStyle w:val="table-level-0"/>
              <w:ind w:leftChars="0" w:left="0" w:right="0"/>
              <w:keepNext/>
            </w:pPr>
            <w:r>
              <w:t>4,3</w:t>
            </w:r>
          </w:p>
        </w:tc>
        <w:tc>
          <w:tcPr>
            <w:cnfStyle w:evenVBand="false" w:oddVBand="true" w:firstColumn="false"/>
            <w:tcW w:w="11.434303%" w:type="pct"/>
          </w:tcPr>
          <w:p>
            <w:pPr>
              <w:pStyle w:val="table-level-0"/>
              <w:ind w:leftChars="0" w:left="0" w:right="0"/>
              <w:keepNext/>
            </w:pPr>
            <w:r>
              <w:t>3,9</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per IRES</w:t>
            </w:r>
          </w:p>
        </w:tc>
        <w:tc>
          <w:tcPr>
            <w:cnfStyle w:evenVBand="true" w:oddVBand="false" w:firstColumn="false"/>
            <w:tcW w:w="11.434303%" w:type="pct"/>
          </w:tcPr>
          <w:p>
            <w:pPr>
              <w:pStyle w:val="table-level-0"/>
              <w:ind w:leftChars="0" w:left="0" w:right="0"/>
              <w:keepNext/>
            </w:pPr>
            <w:r>
              <w:t>-90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-74,5</w:t>
            </w:r>
          </w:p>
        </w:tc>
        <w:tc>
          <w:tcPr>
            <w:cnfStyle w:evenVBand="false" w:oddVBand="true" w:firstColumn="false"/>
            <w:tcW w:w="11.434303%" w:type="pct"/>
          </w:tcPr>
          <w:p>
            <w:pPr>
              <w:pStyle w:val="table-level-0"/>
              <w:ind w:leftChars="0" w:left="0" w:right="0"/>
              <w:keepNext/>
            </w:pPr>
            <w:r>
              <w:t>-74</w:t>
            </w:r>
          </w:p>
        </w:tc>
      </w:tr>
    </w:tbl>
    <w:p>
      <w:pPr>
        <w:pStyle w:val="TableBottomMargin"/>
      </w:pPr>
    </w:p>
    <w:p>
      <w:pPr>
        <w:pStyle w:val="BodyText"/>
        <w:ind w:leftChars="0" w:left="0" w:right="0"/>
      </w:pPr>
      <w:r>
        <w:t xml:space="preserve">Dal prospetto si evince che al 31 dicembre 2022 il valore della voce </w:t>
      </w:r>
      <w:r>
        <w:rPr>
          <w:i/>
          <w:iCs/>
        </w:rPr>
        <w:t>Crediti e debiti IRES</w:t>
      </w:r>
      <w:r>
        <w:t xml:space="preserve"> è pari a € -51.900 ed è in diminuzione del 16% rispetto al 31 dicembre 2021.</w:t>
      </w:r>
    </w:p>
    <w:p>
      <w:pPr>
        <w:pStyle w:val="BodyText"/>
        <w:ind w:leftChars="0" w:left="0" w:right="0"/>
      </w:pPr>
      <w:r>
        <w:t xml:space="preserve">Il grafico seguente mostra l’analisi dell’andamento della voce </w:t>
      </w:r>
      <w:r>
        <w:rPr>
          <w:i/>
          <w:iCs/>
        </w:rPr>
        <w:t>Crediti e debiti IRES</w:t>
      </w:r>
      <w:r>
        <w:t xml:space="preserve"> dal 31 dicembre 2017 al 31 dicembre 2022. Tale valore risulta in diminuzione del 30%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0" name="309ad8cef0c08492ba7a8f5416e3efb8.png" descr="_static/temp/309ad8cef0c08492ba7a8f5416e3ef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09ad8cef0c08492ba7a8f5416e3efb8.png" descr="_static/temp/309ad8cef0c08492ba7a8f5416e3efb8.png"/>
                    <pic:cNvPicPr>
                      <a:picLocks noChangeAspect="1" noChangeArrowheads="1"/>
                    </pic:cNvPicPr>
                  </pic:nvPicPr>
                  <pic:blipFill>
                    <a:blip xmlns:r="http://schemas.openxmlformats.org/officeDocument/2006/relationships" r:embed="rId4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e debiti IRES</w:t>
      </w:r>
      <w:r>
        <w:t xml:space="preserve"> al 31 dicembre 2022, la componente più significativa è rappresentata dalla voce </w:t>
      </w:r>
      <w:r>
        <w:rPr>
          <w:i/>
          <w:iCs/>
        </w:rPr>
        <w:t>Crediti per acconti d’imposta IRES</w:t>
      </w:r>
      <w:r>
        <w:t xml:space="preserve"> con un valore pari a 33.000 €. Il grafico seguente visualizza la ripartizione di tutte le componenti della voce </w:t>
      </w:r>
      <w:r>
        <w:rPr>
          <w:i/>
          <w:iCs/>
        </w:rPr>
        <w:t>Crediti e debiti IRES</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1" name="fa313aca711a1d69bbbfbe63b2899707.png" descr="_static/temp/fa313aca711a1d69bbbfbe63b2899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a313aca711a1d69bbbfbe63b2899707.png" descr="_static/temp/fa313aca711a1d69bbbfbe63b2899707.png"/>
                    <pic:cNvPicPr>
                      <a:picLocks noChangeAspect="1" noChangeArrowheads="1"/>
                    </pic:cNvPicPr>
                  </pic:nvPicPr>
                  <pic:blipFill>
                    <a:blip xmlns:r="http://schemas.openxmlformats.org/officeDocument/2006/relationships" r:embed="rId44"/>
                    <a:srcRect/>
                    <a:stretch>
                      <a:fillRect/>
                    </a:stretch>
                  </pic:blipFill>
                  <pic:spPr bwMode="auto">
                    <a:xfrm>
                      <a:off x="0" y="0"/>
                      <a:ext cx="6476365" cy="3266766"/>
                    </a:xfrm>
                    <a:prstGeom prst="rect">
                      <a:avLst/>
                    </a:prstGeom>
                    <a:noFill/>
                  </pic:spPr>
                </pic:pic>
              </a:graphicData>
            </a:graphic>
          </wp:inline>
        </w:drawing>
      </w:r>
    </w:p>
    <w:bookmarkEnd w:id="495"/>
    <w:bookmarkEnd w:id="496"/>
    <w:bookmarkStart w:id="497" w:name="_d2ddec10d17891ec0cfa1433c0c84123"/>
    <w:bookmarkStart w:id="498" w:name="_dc1679a8790a90ea343b1bcdeaf05d6a"/>
    <w:p>
      <w:pPr>
        <w:pStyle w:val="Heading5"/>
        <w:keepNext/>
      </w:pPr>
      <w:r>
        <w:t>Crediti e debiti IRAP</w:t>
      </w:r>
    </w:p>
    <w:p>
      <w:pPr>
        <w:pStyle w:val="BodyText"/>
        <w:ind w:leftChars="0" w:left="0" w:right="0"/>
      </w:pPr>
      <w:r>
        <w:t xml:space="preserve">La presente sottosezione dei </w:t>
      </w:r>
      <w:hyperlink w:anchor="_ed34e9d3f60f819748e342a0474f0b6e">
        <w:r>
          <w:rPr>
            <w:rStyle w:val="Hyperlink"/>
          </w:rPr>
          <w:t>Crediti e dei debiti tributari</w:t>
        </w:r>
      </w:hyperlink>
      <w:r>
        <w:t xml:space="preserve"> è dedicata ai crediti e debiti IRAP. Questa voce è rappresentata dalla differenza tra crediti e debiti relativi a IRAP.</w:t>
      </w:r>
    </w:p>
    <w:p>
      <w:pPr>
        <w:pStyle w:val="BodyText"/>
        <w:ind w:leftChars="0" w:left="0" w:right="0"/>
      </w:pPr>
      <w:r>
        <w:t xml:space="preserve">Il prospetto seguente illustra il dettaglio analitico della voce </w:t>
      </w:r>
      <w:r>
        <w:rPr>
          <w:i/>
          <w:iCs/>
        </w:rPr>
        <w:t>Crediti e debiti IRAP</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dc1679a8790a90ea343b1bcdeaf05d6a">
              <w:r>
                <w:rPr>
                  <w:rStyle w:val="Hyperlink"/>
                </w:rPr>
                <w:t>Crediti/debiti tributari IRAP</w:t>
              </w:r>
            </w:hyperlink>
          </w:p>
        </w:tc>
        <w:tc>
          <w:tcPr>
            <w:cnfStyle w:evenVBand="true" w:oddVBand="false" w:firstColumn="false"/>
            <w:tcW w:w="11.434303%" w:type="pct"/>
          </w:tcPr>
          <w:p>
            <w:pPr>
              <w:pStyle w:val="table-level-1"/>
              <w:ind w:leftChars="0" w:left="0" w:right="0"/>
              <w:keepNext/>
            </w:pPr>
            <w:r>
              <w:t>-27</w:t>
            </w:r>
          </w:p>
        </w:tc>
        <w:tc>
          <w:tcPr>
            <w:cnfStyle w:evenVBand="false" w:oddVBand="true" w:firstColumn="false"/>
            <w:tcW w:w="11.434303%" w:type="pct"/>
          </w:tcPr>
          <w:p>
            <w:pPr>
              <w:pStyle w:val="table-level-1"/>
              <w:ind w:leftChars="0" w:left="0" w:right="0"/>
              <w:keepNext/>
            </w:pPr>
            <w:r>
              <w:t>-21,2</w:t>
            </w:r>
          </w:p>
        </w:tc>
        <w:tc>
          <w:tcPr>
            <w:cnfStyle w:evenVBand="true" w:oddVBand="false" w:firstColumn="false"/>
            <w:tcW w:w="11.434303%" w:type="pct"/>
          </w:tcPr>
          <w:p>
            <w:pPr>
              <w:pStyle w:val="table-level-1"/>
              <w:ind w:leftChars="0" w:left="0" w:right="0"/>
              <w:keepNext/>
            </w:pPr>
            <w:r>
              <w:t>-11,8</w:t>
            </w:r>
          </w:p>
        </w:tc>
        <w:tc>
          <w:tcPr>
            <w:cnfStyle w:evenVBand="false" w:oddVBand="true" w:firstColumn="false"/>
            <w:tcW w:w="11.434303%" w:type="pct"/>
          </w:tcPr>
          <w:p>
            <w:pPr>
              <w:pStyle w:val="table-level-1"/>
              <w:ind w:leftChars="0" w:left="0" w:right="0"/>
              <w:keepNext/>
            </w:pPr>
            <w:r>
              <w:t>-5,2</w:t>
            </w:r>
          </w:p>
        </w:tc>
        <w:tc>
          <w:tcPr>
            <w:cnfStyle w:evenVBand="true" w:oddVBand="false" w:firstColumn="false"/>
            <w:tcW w:w="11.434303%" w:type="pct"/>
          </w:tcPr>
          <w:p>
            <w:pPr>
              <w:pStyle w:val="table-level-1"/>
              <w:ind w:leftChars="0" w:left="0" w:right="0"/>
              <w:keepNext/>
            </w:pPr>
            <w:r>
              <w:t>-3,6</w:t>
            </w:r>
          </w:p>
        </w:tc>
        <w:tc>
          <w:tcPr>
            <w:cnfStyle w:evenVBand="false" w:oddVBand="true" w:firstColumn="false"/>
            <w:tcW w:w="11.434303%" w:type="pct"/>
          </w:tcPr>
          <w:p>
            <w:pPr>
              <w:pStyle w:val="table-level-1"/>
              <w:ind w:leftChars="0" w:left="0" w:right="0"/>
              <w:keepNext/>
            </w:pPr>
            <w:r>
              <w:t>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Acconti d’imposta IRAP</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10,2</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13,5</w:t>
            </w:r>
          </w:p>
        </w:tc>
        <w:tc>
          <w:tcPr>
            <w:cnfStyle w:evenVBand="false" w:oddVBand="true" w:firstColumn="false"/>
            <w:tcW w:w="11.434303%" w:type="pct"/>
          </w:tcPr>
          <w:p>
            <w:pPr>
              <w:pStyle w:val="table-level-0"/>
              <w:ind w:leftChars="0" w:left="0" w:right="0"/>
              <w:keepNext/>
            </w:pPr>
            <w:r>
              <w:t>15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per IRAP</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3,6</w:t>
            </w:r>
          </w:p>
        </w:tc>
        <w:tc>
          <w:tcPr>
            <w:cnfStyle w:evenVBand="true" w:oddVBand="false" w:firstColumn="false"/>
            <w:tcW w:w="11.434303%" w:type="pct"/>
          </w:tcPr>
          <w:p>
            <w:pPr>
              <w:pStyle w:val="table-level-0"/>
              <w:ind w:leftChars="0" w:left="0" w:right="0"/>
              <w:keepNext/>
            </w:pPr>
            <w:r>
              <w:t>3,2</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2,4</w:t>
            </w:r>
          </w:p>
        </w:tc>
        <w:tc>
          <w:tcPr>
            <w:cnfStyle w:evenVBand="false" w:oddVBand="true" w:firstColumn="false"/>
            <w:tcW w:w="11.434303%" w:type="pct"/>
          </w:tcPr>
          <w:p>
            <w:pPr>
              <w:pStyle w:val="table-level-0"/>
              <w:ind w:leftChars="0" w:left="0" w:right="0"/>
              <w:keepNext/>
            </w:pPr>
            <w:r>
              <w:t>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per IRAP</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-20</w:t>
            </w:r>
          </w:p>
        </w:tc>
        <w:tc>
          <w:tcPr>
            <w:cnfStyle w:evenVBand="true" w:oddVBand="false" w:firstColumn="false"/>
            <w:tcW w:w="11.434303%" w:type="pct"/>
          </w:tcPr>
          <w:p>
            <w:pPr>
              <w:pStyle w:val="table-level-0"/>
              <w:ind w:leftChars="0" w:left="0" w:right="0"/>
              <w:keepNext/>
            </w:pPr>
            <w:r>
              <w:t>-19,5</w:t>
            </w:r>
          </w:p>
        </w:tc>
        <w:tc>
          <w:tcPr>
            <w:cnfStyle w:evenVBand="false" w:oddVBand="true" w:firstColumn="false"/>
            <w:tcW w:w="11.434303%" w:type="pct"/>
          </w:tcPr>
          <w:p>
            <w:pPr>
              <w:pStyle w:val="table-level-0"/>
              <w:ind w:leftChars="0" w:left="0" w:right="0"/>
              <w:keepNext/>
            </w:pPr>
            <w:r>
              <w:t>-19</w:t>
            </w:r>
          </w:p>
        </w:tc>
      </w:tr>
    </w:tbl>
    <w:p>
      <w:pPr>
        <w:pStyle w:val="TableBottomMargin"/>
      </w:pPr>
    </w:p>
    <w:p>
      <w:pPr>
        <w:pStyle w:val="BodyText"/>
        <w:ind w:leftChars="0" w:left="0" w:right="0"/>
      </w:pPr>
      <w:r>
        <w:t xml:space="preserve">Dal prospetto si evince che al 31 dicembre 2022 il valore della voce </w:t>
      </w:r>
      <w:r>
        <w:rPr>
          <w:i/>
          <w:iCs/>
        </w:rPr>
        <w:t>Crediti e debiti IRAP</w:t>
      </w:r>
      <w:r>
        <w:t xml:space="preserve"> è pari a € -27.000 ed è in diminuzione del 27% rispetto al 31 dicembre 2021.</w:t>
      </w:r>
    </w:p>
    <w:p>
      <w:pPr>
        <w:pStyle w:val="BodyText"/>
        <w:ind w:leftChars="0" w:left="0" w:right="0"/>
      </w:pPr>
      <w:r>
        <w:t xml:space="preserve">Il grafico seguente mostra l’analisi dell’andamento della voce </w:t>
      </w:r>
      <w:r>
        <w:rPr>
          <w:i/>
          <w:iCs/>
        </w:rPr>
        <w:t>Crediti e debiti IRAP</w:t>
      </w:r>
      <w:r>
        <w:t xml:space="preserve"> dal 31 dicembre 2017 al 31 dicembre 2022. Tale valore risulta in diminuzione del 1.450%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2" name="938efdf5d69808bf98c6180bd550e7f7.png" descr="_static/temp/938efdf5d69808bf98c6180bd550e7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938efdf5d69808bf98c6180bd550e7f7.png" descr="_static/temp/938efdf5d69808bf98c6180bd550e7f7.png"/>
                    <pic:cNvPicPr>
                      <a:picLocks noChangeAspect="1" noChangeArrowheads="1"/>
                    </pic:cNvPicPr>
                  </pic:nvPicPr>
                  <pic:blipFill>
                    <a:blip xmlns:r="http://schemas.openxmlformats.org/officeDocument/2006/relationships" r:embed="rId4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e debiti IRAP</w:t>
      </w:r>
      <w:r>
        <w:t xml:space="preserve"> al 31 dicembre 2022, la componente più significativa è rappresentata dalla voce </w:t>
      </w:r>
      <w:r>
        <w:rPr>
          <w:i/>
          <w:iCs/>
        </w:rPr>
        <w:t>Crediti per acconti d’imposta IRAP</w:t>
      </w:r>
      <w:r>
        <w:t xml:space="preserve"> con un valore pari a 14.000 €. Il grafico seguente visualizza la ripartizione di tutte le componenti della voce </w:t>
      </w:r>
      <w:r>
        <w:rPr>
          <w:i/>
          <w:iCs/>
        </w:rPr>
        <w:t>Crediti e debiti IRAP</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3" name="e256ae600d8cf1338b958cfa507a6a1d.png" descr="_static/temp/e256ae600d8cf1338b958cfa507a6a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256ae600d8cf1338b958cfa507a6a1d.png" descr="_static/temp/e256ae600d8cf1338b958cfa507a6a1d.png"/>
                    <pic:cNvPicPr>
                      <a:picLocks noChangeAspect="1" noChangeArrowheads="1"/>
                    </pic:cNvPicPr>
                  </pic:nvPicPr>
                  <pic:blipFill>
                    <a:blip xmlns:r="http://schemas.openxmlformats.org/officeDocument/2006/relationships" r:embed="rId46"/>
                    <a:srcRect/>
                    <a:stretch>
                      <a:fillRect/>
                    </a:stretch>
                  </pic:blipFill>
                  <pic:spPr bwMode="auto">
                    <a:xfrm>
                      <a:off x="0" y="0"/>
                      <a:ext cx="6476365" cy="3266766"/>
                    </a:xfrm>
                    <a:prstGeom prst="rect">
                      <a:avLst/>
                    </a:prstGeom>
                    <a:noFill/>
                  </pic:spPr>
                </pic:pic>
              </a:graphicData>
            </a:graphic>
          </wp:inline>
        </w:drawing>
      </w:r>
    </w:p>
    <w:bookmarkEnd w:id="497"/>
    <w:bookmarkEnd w:id="498"/>
    <w:bookmarkStart w:id="499" w:name="_20c4abcff27264842a7f02f8b5f9bf8e"/>
    <w:bookmarkStart w:id="500" w:name="_7b3d10a43d2e278e4948e0e5ed0f4c8e"/>
    <w:p>
      <w:pPr>
        <w:pStyle w:val="Heading5"/>
        <w:keepNext/>
      </w:pPr>
      <w:r>
        <w:t>Crediti e debiti IVA</w:t>
      </w:r>
    </w:p>
    <w:p>
      <w:pPr>
        <w:pStyle w:val="BodyText"/>
        <w:ind w:leftChars="0" w:left="0" w:right="0"/>
      </w:pPr>
      <w:r>
        <w:t xml:space="preserve">La presente sottosezione dei </w:t>
      </w:r>
      <w:hyperlink w:anchor="_ed34e9d3f60f819748e342a0474f0b6e">
        <w:r>
          <w:rPr>
            <w:rStyle w:val="Hyperlink"/>
          </w:rPr>
          <w:t>Crediti e dei debiti tributari</w:t>
        </w:r>
      </w:hyperlink>
      <w:r>
        <w:t xml:space="preserve"> è dedicata ai crediti e debiti IVA. Questa voce è rappresentata dalla differenza tra crediti e debiti relativi a IVA.</w:t>
      </w:r>
    </w:p>
    <w:p>
      <w:pPr>
        <w:pStyle w:val="BodyText"/>
        <w:ind w:leftChars="0" w:left="0" w:right="0"/>
      </w:pPr>
      <w:r>
        <w:t xml:space="preserve">Il prospetto seguente illustra il dettaglio analitico della voce </w:t>
      </w:r>
      <w:r>
        <w:rPr>
          <w:i/>
          <w:iCs/>
        </w:rPr>
        <w:t>Crediti e debiti IVA</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b3d10a43d2e278e4948e0e5ed0f4c8e">
              <w:r>
                <w:rPr>
                  <w:rStyle w:val="Hyperlink"/>
                </w:rPr>
                <w:t>Crediti/debiti IVA</w:t>
              </w:r>
            </w:hyperlink>
          </w:p>
        </w:tc>
        <w:tc>
          <w:tcPr>
            <w:cnfStyle w:evenVBand="true" w:oddVBand="false" w:firstColumn="false"/>
            <w:tcW w:w="11.434303%" w:type="pct"/>
          </w:tcPr>
          <w:p>
            <w:pPr>
              <w:pStyle w:val="table-level-1"/>
              <w:ind w:leftChars="0" w:left="0" w:right="0"/>
              <w:keepNext/>
            </w:pPr>
            <w:r>
              <w:t>-3</w:t>
            </w:r>
          </w:p>
        </w:tc>
        <w:tc>
          <w:tcPr>
            <w:cnfStyle w:evenVBand="false" w:oddVBand="true" w:firstColumn="false"/>
            <w:tcW w:w="11.434303%" w:type="pct"/>
          </w:tcPr>
          <w:p>
            <w:pPr>
              <w:pStyle w:val="table-level-1"/>
              <w:ind w:leftChars="0" w:left="0" w:right="0"/>
              <w:keepNext/>
            </w:pPr>
            <w:r>
              <w:t>-10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9,5</w:t>
            </w:r>
          </w:p>
        </w:tc>
        <w:tc>
          <w:tcPr>
            <w:cnfStyle w:evenVBand="true" w:oddVBand="false" w:firstColumn="false"/>
            <w:tcW w:w="11.434303%" w:type="pct"/>
          </w:tcPr>
          <w:p>
            <w:pPr>
              <w:pStyle w:val="table-level-1"/>
              <w:ind w:leftChars="0" w:left="0" w:right="0"/>
              <w:keepNext/>
            </w:pPr>
            <w:r>
              <w:t>3</w:t>
            </w:r>
          </w:p>
        </w:tc>
        <w:tc>
          <w:tcPr>
            <w:cnfStyle w:evenVBand="false" w:oddVBand="true" w:firstColumn="false"/>
            <w:tcW w:w="11.434303%" w:type="pct"/>
          </w:tcPr>
          <w:p>
            <w:pPr>
              <w:pStyle w:val="table-level-1"/>
              <w:ind w:leftChars="0" w:left="0" w:right="0"/>
              <w:keepNext/>
            </w:pPr>
            <w:r>
              <w:t>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Credito IVA</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13</w:t>
            </w:r>
          </w:p>
        </w:tc>
        <w:tc>
          <w:tcPr>
            <w:cnfStyle w:evenVBand="false" w:oddVBand="true" w:firstColumn="false"/>
            <w:tcW w:w="11.434303%" w:type="pct"/>
          </w:tcPr>
          <w:p>
            <w:pPr>
              <w:pStyle w:val="table-level-0"/>
              <w:ind w:leftChars="0" w:left="0" w:right="0"/>
              <w:keepNext/>
            </w:pPr>
            <w:r>
              <w:t>16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Debito IVA</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-9,5</w:t>
            </w:r>
          </w:p>
        </w:tc>
      </w:tr>
    </w:tbl>
    <w:p>
      <w:pPr>
        <w:pStyle w:val="TableBottomMargin"/>
      </w:pPr>
    </w:p>
    <w:p>
      <w:pPr>
        <w:pStyle w:val="BodyText"/>
        <w:ind w:leftChars="0" w:left="0" w:right="0"/>
      </w:pPr>
      <w:r>
        <w:t xml:space="preserve">Dal prospetto si evince che al 31 dicembre 2022 il valore della voce </w:t>
      </w:r>
      <w:r>
        <w:rPr>
          <w:i/>
          <w:iCs/>
        </w:rPr>
        <w:t>Crediti e debiti IVA</w:t>
      </w:r>
      <w:r>
        <w:t xml:space="preserve"> è pari a € -3.000 ed è in crescita del 70% rispetto al 31 dicembre 2021.</w:t>
      </w:r>
    </w:p>
    <w:p>
      <w:pPr>
        <w:pStyle w:val="BodyText"/>
        <w:ind w:leftChars="0" w:left="0" w:right="0"/>
      </w:pPr>
      <w:r>
        <w:t xml:space="preserve">Il grafico seguente mostra l’analisi dell’andamento della voce </w:t>
      </w:r>
      <w:r>
        <w:rPr>
          <w:i/>
          <w:iCs/>
        </w:rPr>
        <w:t>Crediti e debiti IVA</w:t>
      </w:r>
      <w:r>
        <w:t xml:space="preserve"> dal 31 dicembre 2017 al 31 dicembre 2022. Tale valore risulta in diminuzione del 146%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4" name="3748171bfd54caf4731a173c47611e54.png" descr="_static/temp/3748171bfd54caf4731a173c47611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748171bfd54caf4731a173c47611e54.png" descr="_static/temp/3748171bfd54caf4731a173c47611e54.png"/>
                    <pic:cNvPicPr>
                      <a:picLocks noChangeAspect="1" noChangeArrowheads="1"/>
                    </pic:cNvPicPr>
                  </pic:nvPicPr>
                  <pic:blipFill>
                    <a:blip xmlns:r="http://schemas.openxmlformats.org/officeDocument/2006/relationships" r:embed="rId4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e debiti IVA</w:t>
      </w:r>
      <w:r>
        <w:t xml:space="preserve"> al 31 dicembre 2022, la componente più significativa è rappresentata dalla voce </w:t>
      </w:r>
      <w:r>
        <w:rPr>
          <w:i/>
          <w:iCs/>
        </w:rPr>
        <w:t>Credito IVA</w:t>
      </w:r>
      <w:r>
        <w:t xml:space="preserve"> con un valore pari a 17.000 €. Il grafico seguente visualizza la ripartizione di tutte le componenti della voce </w:t>
      </w:r>
      <w:r>
        <w:rPr>
          <w:i/>
          <w:iCs/>
        </w:rPr>
        <w:t>Crediti e debiti IVA</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5" name="03da7fc0583e2df5125ec9a64adc6861.png" descr="_static/temp/03da7fc0583e2df5125ec9a64adc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3da7fc0583e2df5125ec9a64adc6861.png" descr="_static/temp/03da7fc0583e2df5125ec9a64adc6861.png"/>
                    <pic:cNvPicPr>
                      <a:picLocks noChangeAspect="1" noChangeArrowheads="1"/>
                    </pic:cNvPicPr>
                  </pic:nvPicPr>
                  <pic:blipFill>
                    <a:blip xmlns:r="http://schemas.openxmlformats.org/officeDocument/2006/relationships" r:embed="rId48"/>
                    <a:srcRect/>
                    <a:stretch>
                      <a:fillRect/>
                    </a:stretch>
                  </pic:blipFill>
                  <pic:spPr bwMode="auto">
                    <a:xfrm>
                      <a:off x="0" y="0"/>
                      <a:ext cx="6476365" cy="3266766"/>
                    </a:xfrm>
                    <a:prstGeom prst="rect">
                      <a:avLst/>
                    </a:prstGeom>
                    <a:noFill/>
                  </pic:spPr>
                </pic:pic>
              </a:graphicData>
            </a:graphic>
          </wp:inline>
        </w:drawing>
      </w:r>
    </w:p>
    <w:bookmarkEnd w:id="499"/>
    <w:bookmarkEnd w:id="500"/>
    <w:bookmarkStart w:id="501" w:name="_f2cd561f5dec0e54a06662f3c4dbe56c"/>
    <w:bookmarkStart w:id="502" w:name="_51bf46f5e3e5f38d32fbaca50a63e5e1"/>
    <w:p>
      <w:pPr>
        <w:pStyle w:val="Heading5"/>
        <w:keepNext/>
      </w:pPr>
      <w:r>
        <w:t>Crediti per imposte anticipate e altre imposte</w:t>
      </w:r>
    </w:p>
    <w:p>
      <w:pPr>
        <w:pStyle w:val="BodyText"/>
        <w:ind w:leftChars="0" w:left="0" w:right="0"/>
      </w:pPr>
      <w:r>
        <w:t xml:space="preserve">La presente sottosezione dei </w:t>
      </w:r>
      <w:hyperlink w:anchor="_ed34e9d3f60f819748e342a0474f0b6e">
        <w:r>
          <w:rPr>
            <w:rStyle w:val="Hyperlink"/>
          </w:rPr>
          <w:t>Crediti e dei debiti tributari</w:t>
        </w:r>
      </w:hyperlink>
      <w:r>
        <w:t xml:space="preserve"> è dedicata ai crediti per imposte anticipate e altre imposte. Questa voce è rappresentata dai crediti per imposte anticipate e dalla differenza tra crediti e debiti relativi a imposte diverse da IRES, IRAP, IVA.</w:t>
      </w:r>
    </w:p>
    <w:p>
      <w:pPr>
        <w:pStyle w:val="BodyText"/>
        <w:ind w:leftChars="0" w:left="0" w:right="0"/>
      </w:pPr>
      <w:r>
        <w:t xml:space="preserve">Il prospetto seguente illustra il dettaglio analitico della voce </w:t>
      </w:r>
      <w:r>
        <w:rPr>
          <w:i/>
          <w:iCs/>
        </w:rPr>
        <w:t>Crediti per imposte anticipate e altre imposte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51bf46f5e3e5f38d32fbaca50a63e5e1">
              <w:r>
                <w:rPr>
                  <w:rStyle w:val="Hyperlink"/>
                </w:rPr>
                <w:t>Anticipate e altri tributari</w:t>
              </w:r>
            </w:hyperlink>
          </w:p>
        </w:tc>
        <w:tc>
          <w:tcPr>
            <w:cnfStyle w:evenVBand="true" w:oddVBand="false" w:firstColumn="false"/>
            <w:tcW w:w="11.434303%" w:type="pct"/>
          </w:tcPr>
          <w:p>
            <w:pPr>
              <w:pStyle w:val="table-level-1"/>
              <w:ind w:leftChars="0" w:left="0" w:right="0"/>
              <w:keepNext/>
            </w:pPr>
            <w:r>
              <w:t>15,6</w:t>
            </w:r>
          </w:p>
        </w:tc>
        <w:tc>
          <w:tcPr>
            <w:cnfStyle w:evenVBand="false" w:oddVBand="true" w:firstColumn="false"/>
            <w:tcW w:w="11.434303%" w:type="pct"/>
          </w:tcPr>
          <w:p>
            <w:pPr>
              <w:pStyle w:val="table-level-1"/>
              <w:ind w:leftChars="0" w:left="0" w:right="0"/>
              <w:keepNext/>
            </w:pPr>
            <w:r>
              <w:t>10,4</w:t>
            </w:r>
          </w:p>
        </w:tc>
        <w:tc>
          <w:tcPr>
            <w:cnfStyle w:evenVBand="true" w:oddVBand="false" w:firstColumn="false"/>
            <w:tcW w:w="11.434303%" w:type="pct"/>
          </w:tcPr>
          <w:p>
            <w:pPr>
              <w:pStyle w:val="table-level-1"/>
              <w:ind w:leftChars="0" w:left="0" w:right="0"/>
              <w:keepNext/>
            </w:pPr>
            <w:r>
              <w:t>12,3</w:t>
            </w:r>
          </w:p>
        </w:tc>
        <w:tc>
          <w:tcPr>
            <w:cnfStyle w:evenVBand="false" w:oddVBand="true" w:firstColumn="false"/>
            <w:tcW w:w="11.434303%" w:type="pct"/>
          </w:tcPr>
          <w:p>
            <w:pPr>
              <w:pStyle w:val="table-level-1"/>
              <w:ind w:leftChars="0" w:left="0" w:right="0"/>
              <w:keepNext/>
            </w:pPr>
            <w:r>
              <w:t>18,9</w:t>
            </w:r>
          </w:p>
        </w:tc>
        <w:tc>
          <w:tcPr>
            <w:cnfStyle w:evenVBand="true" w:oddVBand="false" w:firstColumn="false"/>
            <w:tcW w:w="11.434303%" w:type="pct"/>
          </w:tcPr>
          <w:p>
            <w:pPr>
              <w:pStyle w:val="table-level-1"/>
              <w:ind w:leftChars="0" w:left="0" w:right="0"/>
              <w:keepNext/>
            </w:pPr>
            <w:r>
              <w:t>22,5</w:t>
            </w:r>
          </w:p>
        </w:tc>
        <w:tc>
          <w:tcPr>
            <w:cnfStyle w:evenVBand="false" w:oddVBand="true" w:firstColumn="false"/>
            <w:tcW w:w="11.434303%" w:type="pct"/>
          </w:tcPr>
          <w:p>
            <w:pPr>
              <w:pStyle w:val="table-level-1"/>
              <w:ind w:leftChars="0" w:left="0" w:right="0"/>
              <w:keepNext/>
            </w:pPr>
            <w:r>
              <w:t>28,5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anticipate</w:t>
            </w:r>
          </w:p>
        </w:tc>
        <w:tc>
          <w:tcPr>
            <w:cnfStyle w:evenVBand="true" w:oddVBand="false" w:firstColumn="false"/>
            <w:tcW w:w="11.434303%" w:type="pct"/>
          </w:tcPr>
          <w:p>
            <w:pPr>
              <w:pStyle w:val="table-level-0"/>
              <w:ind w:leftChars="0" w:left="0" w:right="0"/>
              <w:keepNext/>
            </w:pPr>
            <w:r>
              <w:t>12,3</w:t>
            </w:r>
          </w:p>
        </w:tc>
        <w:tc>
          <w:tcPr>
            <w:cnfStyle w:evenVBand="false" w:oddVBand="true" w:firstColumn="false"/>
            <w:tcW w:w="11.434303%" w:type="pct"/>
          </w:tcPr>
          <w:p>
            <w:pPr>
              <w:pStyle w:val="table-level-0"/>
              <w:ind w:leftChars="0" w:left="0" w:right="0"/>
              <w:keepNext/>
            </w:pPr>
            <w:r>
              <w:t>7,1</w:t>
            </w:r>
          </w:p>
        </w:tc>
        <w:tc>
          <w:tcPr>
            <w:cnfStyle w:evenVBand="true" w:oddVBand="false" w:firstColumn="false"/>
            <w:tcW w:w="11.434303%" w:type="pct"/>
          </w:tcPr>
          <w:p>
            <w:pPr>
              <w:pStyle w:val="table-level-0"/>
              <w:ind w:leftChars="0" w:left="0" w:right="0"/>
              <w:keepNext/>
            </w:pPr>
            <w:r>
              <w:t>6,9</w:t>
            </w:r>
          </w:p>
        </w:tc>
        <w:tc>
          <w:tcPr>
            <w:cnfStyle w:evenVBand="false" w:oddVBand="true" w:firstColumn="false"/>
            <w:tcW w:w="11.434303%" w:type="pct"/>
          </w:tcPr>
          <w:p>
            <w:pPr>
              <w:pStyle w:val="table-level-0"/>
              <w:ind w:leftChars="0" w:left="0" w:right="0"/>
              <w:keepNext/>
            </w:pPr>
            <w:r>
              <w:t>6,7</w:t>
            </w:r>
          </w:p>
        </w:tc>
        <w:tc>
          <w:tcPr>
            <w:cnfStyle w:evenVBand="true" w:oddVBand="false" w:firstColumn="false"/>
            <w:tcW w:w="11.434303%" w:type="pct"/>
          </w:tcPr>
          <w:p>
            <w:pPr>
              <w:pStyle w:val="table-level-0"/>
              <w:ind w:leftChars="0" w:left="0" w:right="0"/>
              <w:keepNext/>
            </w:pPr>
            <w:r>
              <w:t>8</w:t>
            </w:r>
          </w:p>
        </w:tc>
        <w:tc>
          <w:tcPr>
            <w:cnfStyle w:evenVBand="false" w:oddVBand="true" w:firstColumn="false"/>
            <w:tcW w:w="11.434303%" w:type="pct"/>
          </w:tcPr>
          <w:p>
            <w:pPr>
              <w:pStyle w:val="table-level-0"/>
              <w:ind w:leftChars="0" w:left="0" w:right="0"/>
              <w:keepNext/>
            </w:pPr>
            <w:r>
              <w:t>11</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crediti tributari</w:t>
            </w:r>
          </w:p>
        </w:tc>
        <w:tc>
          <w:tcPr>
            <w:cnfStyle w:evenVBand="true" w:oddVBand="false" w:firstColumn="false"/>
            <w:tcW w:w="11.434303%" w:type="pct"/>
          </w:tcPr>
          <w:p>
            <w:pPr>
              <w:pStyle w:val="table-level-0"/>
              <w:ind w:leftChars="0" w:left="0" w:right="0"/>
              <w:keepNext/>
            </w:pPr>
            <w:r>
              <w:t>15,3</w:t>
            </w:r>
          </w:p>
        </w:tc>
        <w:tc>
          <w:tcPr>
            <w:cnfStyle w:evenVBand="false" w:oddVBand="true" w:firstColumn="false"/>
            <w:tcW w:w="11.434303%" w:type="pct"/>
          </w:tcPr>
          <w:p>
            <w:pPr>
              <w:pStyle w:val="table-level-0"/>
              <w:ind w:leftChars="0" w:left="0" w:right="0"/>
              <w:keepNext/>
            </w:pPr>
            <w:r>
              <w:t>13,3</w:t>
            </w:r>
          </w:p>
        </w:tc>
        <w:tc>
          <w:tcPr>
            <w:cnfStyle w:evenVBand="true" w:oddVBand="false" w:firstColumn="false"/>
            <w:tcW w:w="11.434303%" w:type="pct"/>
          </w:tcPr>
          <w:p>
            <w:pPr>
              <w:pStyle w:val="table-level-0"/>
              <w:ind w:leftChars="0" w:left="0" w:right="0"/>
              <w:keepNext/>
            </w:pPr>
            <w:r>
              <w:t>12,9</w:t>
            </w:r>
          </w:p>
        </w:tc>
        <w:tc>
          <w:tcPr>
            <w:cnfStyle w:evenVBand="false" w:oddVBand="true" w:firstColumn="false"/>
            <w:tcW w:w="11.434303%" w:type="pct"/>
          </w:tcPr>
          <w:p>
            <w:pPr>
              <w:pStyle w:val="table-level-0"/>
              <w:ind w:leftChars="0" w:left="0" w:right="0"/>
              <w:keepNext/>
            </w:pPr>
            <w:r>
              <w:t>17,7</w:t>
            </w:r>
          </w:p>
        </w:tc>
        <w:tc>
          <w:tcPr>
            <w:cnfStyle w:evenVBand="true" w:oddVBand="false" w:firstColumn="false"/>
            <w:tcW w:w="11.434303%" w:type="pct"/>
          </w:tcPr>
          <w:p>
            <w:pPr>
              <w:pStyle w:val="table-level-0"/>
              <w:ind w:leftChars="0" w:left="0" w:right="0"/>
              <w:keepNext/>
            </w:pPr>
            <w:r>
              <w:t>19</w:t>
            </w:r>
          </w:p>
        </w:tc>
        <w:tc>
          <w:tcPr>
            <w:cnfStyle w:evenVBand="false" w:oddVBand="true" w:firstColumn="false"/>
            <w:tcW w:w="11.434303%" w:type="pct"/>
          </w:tcPr>
          <w:p>
            <w:pPr>
              <w:pStyle w:val="table-level-0"/>
              <w:ind w:leftChars="0" w:left="0" w:right="0"/>
              <w:keepNext/>
            </w:pPr>
            <w:r>
              <w:t>21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debiti tributari</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-3,5</w:t>
            </w:r>
          </w:p>
        </w:tc>
      </w:tr>
    </w:tbl>
    <w:p>
      <w:pPr>
        <w:pStyle w:val="TableBottomMargin"/>
      </w:pPr>
    </w:p>
    <w:p>
      <w:pPr>
        <w:pStyle w:val="BodyText"/>
        <w:ind w:leftChars="0" w:left="0" w:right="0"/>
      </w:pPr>
      <w:r>
        <w:t xml:space="preserve">Dal prospetto si evince che al 31 dicembre 2022 il valore della voce </w:t>
      </w:r>
      <w:r>
        <w:rPr>
          <w:i/>
          <w:iCs/>
        </w:rPr>
        <w:t>Crediti per imposte anticipate e altre imposte</w:t>
      </w:r>
      <w:r>
        <w:t xml:space="preserve"> è pari a € 15.600 ed è in crescita del 50% rispetto al 31 dicembre 2021.</w:t>
      </w:r>
    </w:p>
    <w:p>
      <w:pPr>
        <w:pStyle w:val="BodyText"/>
        <w:ind w:leftChars="0" w:left="0" w:right="0"/>
      </w:pPr>
      <w:r>
        <w:t xml:space="preserve">Il grafico seguente mostra l’analisi dell’andamento della voce </w:t>
      </w:r>
      <w:r>
        <w:rPr>
          <w:i/>
          <w:iCs/>
        </w:rPr>
        <w:t>Crediti per imposte anticipate e altre imposte</w:t>
      </w:r>
      <w:r>
        <w:t xml:space="preserve"> dal 31 dicembre 2017 al 31 dicembre 2022. Tale valore risulta in diminuzione del 45%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6" name="21b94ebb3afceb1bd83b958fa45cbf01.png" descr="_static/temp/21b94ebb3afceb1bd83b958fa45cbf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1b94ebb3afceb1bd83b958fa45cbf01.png" descr="_static/temp/21b94ebb3afceb1bd83b958fa45cbf01.png"/>
                    <pic:cNvPicPr>
                      <a:picLocks noChangeAspect="1" noChangeArrowheads="1"/>
                    </pic:cNvPicPr>
                  </pic:nvPicPr>
                  <pic:blipFill>
                    <a:blip xmlns:r="http://schemas.openxmlformats.org/officeDocument/2006/relationships" r:embed="rId4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per imposte anticipate e altre imposte</w:t>
      </w:r>
      <w:r>
        <w:t xml:space="preserve"> al 31 dicembre 2022, la componente più significativa è rappresentata dalla voce </w:t>
      </w:r>
      <w:r>
        <w:rPr>
          <w:i/>
          <w:iCs/>
        </w:rPr>
        <w:t>Altri crediti tributari</w:t>
      </w:r>
      <w:r>
        <w:t xml:space="preserve"> con un valore pari a 15.300 €. Il grafico seguente visualizza la ripartizione di tutte le componenti della voce </w:t>
      </w:r>
      <w:r>
        <w:rPr>
          <w:i/>
          <w:iCs/>
        </w:rPr>
        <w:t>Crediti per imposte anticipate e altre imposte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7" name="784de3ae585d3904de9b66a2877bd577.png" descr="_static/temp/784de3ae585d3904de9b66a2877bd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84de3ae585d3904de9b66a2877bd577.png" descr="_static/temp/784de3ae585d3904de9b66a2877bd577.png"/>
                    <pic:cNvPicPr>
                      <a:picLocks noChangeAspect="1" noChangeArrowheads="1"/>
                    </pic:cNvPicPr>
                  </pic:nvPicPr>
                  <pic:blipFill>
                    <a:blip xmlns:r="http://schemas.openxmlformats.org/officeDocument/2006/relationships" r:embed="rId50"/>
                    <a:srcRect/>
                    <a:stretch>
                      <a:fillRect/>
                    </a:stretch>
                  </pic:blipFill>
                  <pic:spPr bwMode="auto">
                    <a:xfrm>
                      <a:off x="0" y="0"/>
                      <a:ext cx="6476365" cy="3266766"/>
                    </a:xfrm>
                    <a:prstGeom prst="rect">
                      <a:avLst/>
                    </a:prstGeom>
                    <a:noFill/>
                  </pic:spPr>
                </pic:pic>
              </a:graphicData>
            </a:graphic>
          </wp:inline>
        </w:drawing>
      </w:r>
    </w:p>
    <w:bookmarkEnd w:id="501"/>
    <w:bookmarkEnd w:id="502"/>
    <w:bookmarkEnd w:id="493"/>
    <w:bookmarkEnd w:id="494"/>
    <w:bookmarkStart w:id="503" w:name="_9017751d3f811186a4bca797ffcc2163"/>
    <w:bookmarkStart w:id="504" w:name="_4d7db17b91becfb861d08fd3341e2127"/>
    <w:p>
      <w:pPr>
        <w:pStyle w:val="Heading4"/>
        <w:keepNext/>
      </w:pPr>
      <w:r>
        <w:t>Crediti e debiti verso altri</w:t>
      </w:r>
    </w:p>
    <w:p>
      <w:pPr>
        <w:pStyle w:val="BodyText"/>
        <w:ind w:leftChars="0" w:left="0" w:right="0"/>
      </w:pPr>
      <w:r>
        <w:t xml:space="preserve">La presente sottosezione del </w:t>
      </w:r>
      <w:hyperlink w:anchor="_c281ee36b8fd5cc7495ba1bc9c8cc356">
        <w:r>
          <w:rPr>
            <w:rStyle w:val="Hyperlink"/>
          </w:rPr>
          <w:t>Capitale circolante netto</w:t>
        </w:r>
      </w:hyperlink>
      <w:r>
        <w:t xml:space="preserve"> è dedicata ai crediti e debiti verso altri. Questa voce è rappresentata dalla differenza di attività e passività, di natura operativa, nei confronti di soggetti vari (dipendenti, fornitori, istituti di previdenza, obbligazionisti ecc.).</w:t>
      </w:r>
    </w:p>
    <w:p>
      <w:pPr>
        <w:pStyle w:val="BodyText"/>
        <w:ind w:leftChars="0" w:left="0" w:right="0"/>
      </w:pPr>
      <w:r>
        <w:t xml:space="preserve">Il prospetto seguente illustra il dettaglio analitico della voce </w:t>
      </w:r>
      <w:r>
        <w:rPr>
          <w:i/>
          <w:iCs/>
        </w:rPr>
        <w:t>Crediti e debiti verso altri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d7db17b91becfb861d08fd3341e2127">
              <w:r>
                <w:rPr>
                  <w:rStyle w:val="Hyperlink"/>
                </w:rPr>
                <w:t>Crediti/debiti diversi</w:t>
              </w:r>
            </w:hyperlink>
          </w:p>
        </w:tc>
        <w:tc>
          <w:tcPr>
            <w:cnfStyle w:evenVBand="true" w:oddVBand="false" w:firstColumn="false"/>
            <w:tcW w:w="11.434303%" w:type="pct"/>
          </w:tcPr>
          <w:p>
            <w:pPr>
              <w:pStyle w:val="table-level-1"/>
              <w:ind w:leftChars="0" w:left="0" w:right="0"/>
              <w:keepNext/>
            </w:pPr>
            <w:r>
              <w:t>-146</w:t>
            </w:r>
          </w:p>
        </w:tc>
        <w:tc>
          <w:tcPr>
            <w:cnfStyle w:evenVBand="false" w:oddVBand="true" w:firstColumn="false"/>
            <w:tcW w:w="11.434303%" w:type="pct"/>
          </w:tcPr>
          <w:p>
            <w:pPr>
              <w:pStyle w:val="table-level-1"/>
              <w:ind w:leftChars="0" w:left="0" w:right="0"/>
              <w:keepNext/>
            </w:pPr>
            <w:r>
              <w:t>-127,5</w:t>
            </w:r>
          </w:p>
        </w:tc>
        <w:tc>
          <w:tcPr>
            <w:cnfStyle w:evenVBand="true" w:oddVBand="false" w:firstColumn="false"/>
            <w:tcW w:w="11.434303%" w:type="pct"/>
          </w:tcPr>
          <w:p>
            <w:pPr>
              <w:pStyle w:val="table-level-1"/>
              <w:ind w:leftChars="0" w:left="0" w:right="0"/>
              <w:keepNext/>
            </w:pPr>
            <w:r>
              <w:t>-84,5</w:t>
            </w:r>
          </w:p>
        </w:tc>
        <w:tc>
          <w:tcPr>
            <w:cnfStyle w:evenVBand="false" w:oddVBand="true" w:firstColumn="false"/>
            <w:tcW w:w="11.434303%" w:type="pct"/>
          </w:tcPr>
          <w:p>
            <w:pPr>
              <w:pStyle w:val="table-level-1"/>
              <w:ind w:leftChars="0" w:left="0" w:right="0"/>
              <w:keepNext/>
            </w:pPr>
            <w:r>
              <w:t>-70,5</w:t>
            </w:r>
          </w:p>
        </w:tc>
        <w:tc>
          <w:tcPr>
            <w:cnfStyle w:evenVBand="true" w:oddVBand="false" w:firstColumn="false"/>
            <w:tcW w:w="11.434303%" w:type="pct"/>
          </w:tcPr>
          <w:p>
            <w:pPr>
              <w:pStyle w:val="table-level-1"/>
              <w:ind w:leftChars="0" w:left="0" w:right="0"/>
              <w:keepNext/>
            </w:pPr>
            <w:r>
              <w:t>-92,3</w:t>
            </w:r>
          </w:p>
        </w:tc>
        <w:tc>
          <w:tcPr>
            <w:cnfStyle w:evenVBand="false" w:oddVBand="true" w:firstColumn="false"/>
            <w:tcW w:w="11.434303%" w:type="pct"/>
          </w:tcPr>
          <w:p>
            <w:pPr>
              <w:pStyle w:val="table-level-1"/>
              <w:ind w:leftChars="0" w:left="0" w:right="0"/>
              <w:keepNext/>
            </w:pPr>
            <w:r>
              <w:t>-113,9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crediti</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18</w:t>
            </w:r>
          </w:p>
        </w:tc>
        <w:tc>
          <w:tcPr>
            <w:cnfStyle w:evenVBand="true" w:oddVBand="false" w:firstColumn="false"/>
            <w:tcW w:w="11.434303%" w:type="pct"/>
          </w:tcPr>
          <w:p>
            <w:pPr>
              <w:pStyle w:val="table-level-0"/>
              <w:ind w:leftChars="0" w:left="0" w:right="0"/>
              <w:keepNext/>
            </w:pPr>
            <w:r>
              <w:t>16</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13,4</w:t>
            </w:r>
          </w:p>
        </w:tc>
        <w:tc>
          <w:tcPr>
            <w:cnfStyle w:evenVBand="false" w:oddVBand="true" w:firstColumn="false"/>
            <w:tcW w:w="11.434303%" w:type="pct"/>
          </w:tcPr>
          <w:p>
            <w:pPr>
              <w:pStyle w:val="table-level-0"/>
              <w:ind w:leftChars="0" w:left="0" w:right="0"/>
              <w:keepNext/>
            </w:pPr>
            <w:r>
              <w:t>11,8</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-0,5</w:t>
            </w:r>
          </w:p>
        </w:tc>
        <w:tc>
          <w:tcPr>
            <w:cnfStyle w:evenVBand="true" w:oddVBand="false" w:firstColumn="false"/>
            <w:tcW w:w="11.434303%" w:type="pct"/>
          </w:tcPr>
          <w:p>
            <w:pPr>
              <w:pStyle w:val="table-level-100"/>
              <w:ind w:leftChars="0" w:left="0" w:right="0"/>
              <w:keepNext/>
            </w:pPr>
            <w:r>
              <w:t>-0,5</w:t>
            </w:r>
          </w:p>
        </w:tc>
        <w:tc>
          <w:tcPr>
            <w:cnfStyle w:evenVBand="false" w:oddVBand="true" w:firstColumn="false"/>
            <w:tcW w:w="11.434303%" w:type="pct"/>
          </w:tcPr>
          <w:p>
            <w:pPr>
              <w:pStyle w:val="table-level-100"/>
              <w:ind w:leftChars="0" w:left="0" w:right="0"/>
              <w:keepNext/>
            </w:pPr>
            <w:r>
              <w:t>-0,5</w:t>
            </w:r>
          </w:p>
        </w:tc>
        <w:tc>
          <w:tcPr>
            <w:cnfStyle w:evenVBand="true" w:oddVBand="false" w:firstColumn="false"/>
            <w:tcW w:w="11.434303%" w:type="pct"/>
          </w:tcPr>
          <w:p>
            <w:pPr>
              <w:pStyle w:val="table-level-100"/>
              <w:ind w:leftChars="0" w:left="0" w:right="0"/>
              <w:keepNext/>
            </w:pPr>
            <w:r>
              <w:t>-0,7</w:t>
            </w:r>
          </w:p>
        </w:tc>
        <w:tc>
          <w:tcPr>
            <w:cnfStyle w:evenVBand="false" w:oddVBand="true" w:firstColumn="false"/>
            <w:tcW w:w="11.434303%" w:type="pct"/>
          </w:tcPr>
          <w:p>
            <w:pPr>
              <w:pStyle w:val="table-level-100"/>
              <w:ind w:leftChars="0" w:left="0" w:right="0"/>
              <w:keepNext/>
            </w:pPr>
            <w:r>
              <w:t>-0,7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debiti</w:t>
            </w:r>
          </w:p>
        </w:tc>
        <w:tc>
          <w:tcPr>
            <w:cnfStyle w:evenVBand="true" w:oddVBand="false" w:firstColumn="false"/>
            <w:tcW w:w="11.434303%" w:type="pct"/>
          </w:tcPr>
          <w:p>
            <w:pPr>
              <w:pStyle w:val="table-level-0"/>
              <w:ind w:leftChars="0" w:left="0" w:right="0"/>
              <w:keepNext/>
            </w:pPr>
            <w:r>
              <w:t>-135</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-90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Debiti v/istituti di previdenza</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-35</w:t>
            </w:r>
          </w:p>
        </w:tc>
      </w:tr>
    </w:tbl>
    <w:p>
      <w:pPr>
        <w:pStyle w:val="TableBottomMargin"/>
      </w:pPr>
    </w:p>
    <w:p>
      <w:pPr>
        <w:pStyle w:val="BodyText"/>
        <w:ind w:leftChars="0" w:left="0" w:right="0"/>
      </w:pPr>
      <w:r>
        <w:t xml:space="preserve">Dal prospetto si evince che al 31 dicembre 2022 il valore della voce </w:t>
      </w:r>
      <w:r>
        <w:rPr>
          <w:i/>
          <w:iCs/>
        </w:rPr>
        <w:t>Crediti e debiti verso altri</w:t>
      </w:r>
      <w:r>
        <w:t xml:space="preserve"> è pari a € -146.000 ed è in diminuzione del 15% rispetto al 31 dicembre 2021.</w:t>
      </w:r>
    </w:p>
    <w:p>
      <w:pPr>
        <w:pStyle w:val="BodyText"/>
        <w:ind w:leftChars="0" w:left="0" w:right="0"/>
      </w:pPr>
      <w:r>
        <w:t xml:space="preserve">Il grafico seguente mostra l’analisi dell’andamento della voce </w:t>
      </w:r>
      <w:r>
        <w:rPr>
          <w:i/>
          <w:iCs/>
        </w:rPr>
        <w:t>Crediti e debiti verso altri</w:t>
      </w:r>
      <w:r>
        <w:t xml:space="preserve"> dal 31 dicembre 2017 al 31 dicembre 2022. Tale valore risulta in diminuzione del 28%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8" name="ff37dcd933348f47142585ce9d62572a.png" descr="_static/temp/ff37dcd933348f47142585ce9d6257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ff37dcd933348f47142585ce9d62572a.png" descr="_static/temp/ff37dcd933348f47142585ce9d62572a.png"/>
                    <pic:cNvPicPr>
                      <a:picLocks noChangeAspect="1" noChangeArrowheads="1"/>
                    </pic:cNvPicPr>
                  </pic:nvPicPr>
                  <pic:blipFill>
                    <a:blip xmlns:r="http://schemas.openxmlformats.org/officeDocument/2006/relationships" r:embed="rId5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Crediti e debiti verso altri</w:t>
      </w:r>
      <w:r>
        <w:t xml:space="preserve"> al 31 dicembre 2022, la componente più significativa è rappresentata dalla voce </w:t>
      </w:r>
      <w:r>
        <w:rPr>
          <w:i/>
          <w:iCs/>
        </w:rPr>
        <w:t>Altri crediti</w:t>
      </w:r>
      <w:r>
        <w:t xml:space="preserve"> con un valore pari a 14.000 €. Il grafico seguente visualizza la ripartizione di tutte le componenti della voce </w:t>
      </w:r>
      <w:r>
        <w:rPr>
          <w:i/>
          <w:iCs/>
        </w:rPr>
        <w:t>Crediti e debiti verso altri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29" name="d334c97253ca69dc55d9dfde0fdedfe9.png" descr="_static/temp/d334c97253ca69dc55d9dfde0fded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334c97253ca69dc55d9dfde0fdedfe9.png" descr="_static/temp/d334c97253ca69dc55d9dfde0fdedfe9.png"/>
                    <pic:cNvPicPr>
                      <a:picLocks noChangeAspect="1" noChangeArrowheads="1"/>
                    </pic:cNvPicPr>
                  </pic:nvPicPr>
                  <pic:blipFill>
                    <a:blip xmlns:r="http://schemas.openxmlformats.org/officeDocument/2006/relationships" r:embed="rId52"/>
                    <a:srcRect/>
                    <a:stretch>
                      <a:fillRect/>
                    </a:stretch>
                  </pic:blipFill>
                  <pic:spPr bwMode="auto">
                    <a:xfrm>
                      <a:off x="0" y="0"/>
                      <a:ext cx="6476365" cy="3266766"/>
                    </a:xfrm>
                    <a:prstGeom prst="rect">
                      <a:avLst/>
                    </a:prstGeom>
                    <a:noFill/>
                  </pic:spPr>
                </pic:pic>
              </a:graphicData>
            </a:graphic>
          </wp:inline>
        </w:drawing>
      </w:r>
    </w:p>
    <w:bookmarkEnd w:id="503"/>
    <w:bookmarkEnd w:id="504"/>
    <w:bookmarkStart w:id="505" w:name="_598b732b9479ef2be9c6f2a0f1d031ab"/>
    <w:bookmarkStart w:id="506" w:name="_042bf0b8168c57fbf98d0e5f1275aebf"/>
    <w:p>
      <w:pPr>
        <w:pStyle w:val="Heading4"/>
        <w:keepNext/>
      </w:pPr>
      <w:r>
        <w:t>Ratei e risconti netti</w:t>
      </w:r>
    </w:p>
    <w:p>
      <w:pPr>
        <w:pStyle w:val="BodyText"/>
        <w:ind w:leftChars="0" w:left="0" w:right="0"/>
      </w:pPr>
      <w:r>
        <w:t xml:space="preserve">La presente sottosezione del </w:t>
      </w:r>
      <w:hyperlink w:anchor="_c281ee36b8fd5cc7495ba1bc9c8cc356">
        <w:r>
          <w:rPr>
            <w:rStyle w:val="Hyperlink"/>
          </w:rPr>
          <w:t>Capitale circolante netto</w:t>
        </w:r>
      </w:hyperlink>
      <w:r>
        <w:t xml:space="preserve"> è dedicata ai ratei e ai risconti netti. Questi, per quanto attiene i ratei, sono rappresentati da quote di ricavi o costo di competenza dell’esercizio corrente, ma che saranno incassati negli esercizi futuri. Mentre, per quanto concerne i risconti, si tratta di quote di ricavi o costi pagati nell’esercizio, ma che saranno di competenza degli esercizi futuri.</w:t>
      </w:r>
    </w:p>
    <w:p>
      <w:pPr>
        <w:pStyle w:val="BodyText"/>
        <w:ind w:leftChars="0" w:left="0" w:right="0"/>
      </w:pPr>
      <w:r>
        <w:t xml:space="preserve">Il prospetto seguente illustra il dettaglio analitico della voce </w:t>
      </w:r>
      <w:r>
        <w:rPr>
          <w:i/>
          <w:iCs/>
        </w:rPr>
        <w:t>Ratei e risconti netti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042bf0b8168c57fbf98d0e5f1275aebf">
              <w:r>
                <w:rPr>
                  <w:rStyle w:val="Hyperlink"/>
                </w:rPr>
                <w:t>Ratei e risconti netti</w:t>
              </w:r>
            </w:hyperlink>
          </w:p>
        </w:tc>
        <w:tc>
          <w:tcPr>
            <w:cnfStyle w:evenVBand="true" w:oddVBand="false" w:firstColumn="false"/>
            <w:tcW w:w="11.434303%" w:type="pct"/>
          </w:tcPr>
          <w:p>
            <w:pPr>
              <w:pStyle w:val="table-level-1"/>
              <w:ind w:leftChars="0" w:left="0" w:right="0"/>
              <w:keepNext/>
            </w:pPr>
            <w:r>
              <w:t>7,5</w:t>
            </w:r>
          </w:p>
        </w:tc>
        <w:tc>
          <w:tcPr>
            <w:cnfStyle w:evenVBand="false" w:oddVBand="true" w:firstColumn="false"/>
            <w:tcW w:w="11.434303%" w:type="pct"/>
          </w:tcPr>
          <w:p>
            <w:pPr>
              <w:pStyle w:val="table-level-1"/>
              <w:ind w:leftChars="0" w:left="0" w:right="0"/>
              <w:keepNext/>
            </w:pPr>
            <w:r>
              <w:t>2,8</w:t>
            </w:r>
          </w:p>
        </w:tc>
        <w:tc>
          <w:tcPr>
            <w:cnfStyle w:evenVBand="true" w:oddVBand="false" w:firstColumn="false"/>
            <w:tcW w:w="11.434303%" w:type="pct"/>
          </w:tcPr>
          <w:p>
            <w:pPr>
              <w:pStyle w:val="table-level-1"/>
              <w:ind w:leftChars="0" w:left="0" w:right="0"/>
              <w:keepNext/>
            </w:pPr>
            <w:r>
              <w:t>-2,2</w:t>
            </w:r>
          </w:p>
        </w:tc>
        <w:tc>
          <w:tcPr>
            <w:cnfStyle w:evenVBand="false" w:oddVBand="true" w:firstColumn="false"/>
            <w:tcW w:w="11.434303%" w:type="pct"/>
          </w:tcPr>
          <w:p>
            <w:pPr>
              <w:pStyle w:val="table-level-1"/>
              <w:ind w:leftChars="0" w:left="0" w:right="0"/>
              <w:keepNext/>
            </w:pPr>
            <w:r>
              <w:t>-5,5</w:t>
            </w:r>
          </w:p>
        </w:tc>
        <w:tc>
          <w:tcPr>
            <w:cnfStyle w:evenVBand="true" w:oddVBand="false" w:firstColumn="false"/>
            <w:tcW w:w="11.434303%" w:type="pct"/>
          </w:tcPr>
          <w:p>
            <w:pPr>
              <w:pStyle w:val="table-level-1"/>
              <w:ind w:leftChars="0" w:left="0" w:right="0"/>
              <w:keepNext/>
            </w:pPr>
            <w:r>
              <w:t>-7,7</w:t>
            </w:r>
          </w:p>
        </w:tc>
        <w:tc>
          <w:tcPr>
            <w:cnfStyle w:evenVBand="false" w:oddVBand="true" w:firstColumn="false"/>
            <w:tcW w:w="11.434303%" w:type="pct"/>
          </w:tcPr>
          <w:p>
            <w:pPr>
              <w:pStyle w:val="table-level-1"/>
              <w:ind w:leftChars="0" w:left="0" w:right="0"/>
              <w:keepNext/>
            </w:pPr>
            <w:r>
              <w:t>-0,9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Ratei attivi</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2,4</w:t>
            </w:r>
          </w:p>
        </w:tc>
        <w:tc>
          <w:tcPr>
            <w:cnfStyle w:evenVBand="false" w:oddVBand="true" w:firstColumn="false"/>
            <w:tcW w:w="11.434303%" w:type="pct"/>
          </w:tcPr>
          <w:p>
            <w:pPr>
              <w:pStyle w:val="table-level-0"/>
              <w:ind w:leftChars="0" w:left="0" w:right="0"/>
              <w:keepNext/>
            </w:pPr>
            <w:r>
              <w:t>2,3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Risconti attivi</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0,9</w:t>
            </w:r>
          </w:p>
        </w:tc>
        <w:tc>
          <w:tcPr>
            <w:cnfStyle w:evenVBand="false" w:oddVBand="true" w:firstColumn="false"/>
            <w:tcW w:w="11.434303%" w:type="pct"/>
          </w:tcPr>
          <w:p>
            <w:pPr>
              <w:pStyle w:val="table-level-0"/>
              <w:ind w:leftChars="0" w:left="0" w:right="0"/>
              <w:keepNext/>
            </w:pPr>
            <w:r>
              <w:t>0,8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Ratei passivi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Risconti passivi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-1,5</w:t>
            </w:r>
          </w:p>
        </w:tc>
      </w:tr>
    </w:tbl>
    <w:p>
      <w:pPr>
        <w:pStyle w:val="TableBottomMargin"/>
      </w:pPr>
    </w:p>
    <w:p>
      <w:pPr>
        <w:pStyle w:val="BodyText"/>
        <w:ind w:leftChars="0" w:left="0" w:right="0"/>
      </w:pPr>
      <w:r>
        <w:t xml:space="preserve">Dal prospetto si evince che al 31 dicembre 2022 il valore della voce </w:t>
      </w:r>
      <w:r>
        <w:rPr>
          <w:i/>
          <w:iCs/>
        </w:rPr>
        <w:t>Ratei e risconti netti</w:t>
      </w:r>
      <w:r>
        <w:t xml:space="preserve"> è pari a € 7.500 ed è in crescita del 168% rispetto al 31 dicembre 2021.</w:t>
      </w:r>
    </w:p>
    <w:p>
      <w:pPr>
        <w:pStyle w:val="BodyText"/>
        <w:ind w:leftChars="0" w:left="0" w:right="0"/>
      </w:pPr>
      <w:r>
        <w:t xml:space="preserve">Il grafico seguente mostra l’analisi dell’andamento della voce </w:t>
      </w:r>
      <w:r>
        <w:rPr>
          <w:i/>
          <w:iCs/>
        </w:rPr>
        <w:t>Ratei e risconti netti</w:t>
      </w:r>
      <w:r>
        <w:t xml:space="preserve"> dal 31 dicembre 2017 al 31 dicembre 2022. Tale valore risulta in crescita del 933%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0" name="ce429af2deea0ef9d9825ac271bcfad4.png" descr="_static/temp/ce429af2deea0ef9d9825ac271bcf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e429af2deea0ef9d9825ac271bcfad4.png" descr="_static/temp/ce429af2deea0ef9d9825ac271bcfad4.png"/>
                    <pic:cNvPicPr>
                      <a:picLocks noChangeAspect="1" noChangeArrowheads="1"/>
                    </pic:cNvPicPr>
                  </pic:nvPicPr>
                  <pic:blipFill>
                    <a:blip xmlns:r="http://schemas.openxmlformats.org/officeDocument/2006/relationships" r:embed="rId5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Ratei e risconti netti</w:t>
      </w:r>
      <w:r>
        <w:t xml:space="preserve"> al 31 dicembre 2022, la componente più significativa è rappresentata dalla voce </w:t>
      </w:r>
      <w:r>
        <w:rPr>
          <w:i/>
          <w:iCs/>
        </w:rPr>
        <w:t>Ratei attivi</w:t>
      </w:r>
      <w:r>
        <w:t xml:space="preserve"> con un valore pari a 4.500 €. Il grafico seguente visualizza la ripartizione di tutte le componenti della voce </w:t>
      </w:r>
      <w:r>
        <w:rPr>
          <w:i/>
          <w:iCs/>
        </w:rPr>
        <w:t>Ratei e risconti netti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1" name="13f0fa54fa0c854adde1bf1757425189.png" descr="_static/temp/13f0fa54fa0c854adde1bf1757425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3f0fa54fa0c854adde1bf1757425189.png" descr="_static/temp/13f0fa54fa0c854adde1bf1757425189.png"/>
                    <pic:cNvPicPr>
                      <a:picLocks noChangeAspect="1" noChangeArrowheads="1"/>
                    </pic:cNvPicPr>
                  </pic:nvPicPr>
                  <pic:blipFill>
                    <a:blip xmlns:r="http://schemas.openxmlformats.org/officeDocument/2006/relationships" r:embed="rId54"/>
                    <a:srcRect/>
                    <a:stretch>
                      <a:fillRect/>
                    </a:stretch>
                  </pic:blipFill>
                  <pic:spPr bwMode="auto">
                    <a:xfrm>
                      <a:off x="0" y="0"/>
                      <a:ext cx="6476365" cy="3266766"/>
                    </a:xfrm>
                    <a:prstGeom prst="rect">
                      <a:avLst/>
                    </a:prstGeom>
                    <a:noFill/>
                  </pic:spPr>
                </pic:pic>
              </a:graphicData>
            </a:graphic>
          </wp:inline>
        </w:drawing>
      </w:r>
    </w:p>
    <w:bookmarkEnd w:id="505"/>
    <w:bookmarkEnd w:id="506"/>
    <w:bookmarkEnd w:id="477"/>
    <w:bookmarkEnd w:id="478"/>
    <w:bookmarkStart w:id="507" w:name="_6cc67aa82e9a59148d794b965948316c"/>
    <w:bookmarkStart w:id="508" w:name="_1614ca74203022fc214f210368e7f8a7"/>
    <w:p>
      <w:pPr>
        <w:pStyle w:val="Heading3"/>
        <w:keepNext/>
      </w:pPr>
      <w:r>
        <w:t>Attivo fisso netto</w:t>
      </w:r>
    </w:p>
    <w:p>
      <w:pPr>
        <w:pStyle w:val="BodyText"/>
        <w:ind w:leftChars="0" w:left="0" w:right="0"/>
      </w:pPr>
      <w:r>
        <w:t xml:space="preserve">La presente sottosezione del </w:t>
      </w:r>
      <w:hyperlink w:anchor="_29ebf1d81f2de461da116e1be0058ae3">
        <w:r>
          <w:rPr>
            <w:rStyle w:val="Hyperlink"/>
          </w:rPr>
          <w:t>Capitale investito netto</w:t>
        </w:r>
      </w:hyperlink>
      <w:r>
        <w:t xml:space="preserve"> è dedicata all’attivo fisso netto. Questo è rappresentato da attività vincolate al patrimonio aziendale per un arco temporale superiore a 12 mesi al netto di fondi (fondo TFR, fondi rischi e oneri ecc.).</w:t>
      </w:r>
    </w:p>
    <w:p>
      <w:pPr>
        <w:pStyle w:val="BodyText"/>
        <w:ind w:leftChars="0" w:left="0" w:right="0"/>
      </w:pPr>
      <w:r>
        <w:t xml:space="preserve">Il prospetto seguente illustra il dettaglio analitico della voce </w:t>
      </w:r>
      <w:r>
        <w:rPr>
          <w:i/>
          <w:iCs/>
        </w:rPr>
        <w:t>Attivo fisso netto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1614ca74203022fc214f210368e7f8a7">
              <w:r>
                <w:rPr>
                  <w:rStyle w:val="Hyperlink"/>
                </w:rPr>
                <w:t>Attivo fisso netto</w:t>
              </w:r>
            </w:hyperlink>
          </w:p>
        </w:tc>
        <w:tc>
          <w:tcPr>
            <w:cnfStyle w:evenVBand="true" w:oddVBand="false" w:firstColumn="false"/>
            <w:tcW w:w="11.434303%" w:type="pct"/>
          </w:tcPr>
          <w:p>
            <w:pPr>
              <w:pStyle w:val="table-level-1"/>
              <w:ind w:leftChars="0" w:left="0" w:right="0"/>
              <w:keepNext/>
            </w:pPr>
            <w:r>
              <w:t>6.603</w:t>
            </w:r>
          </w:p>
        </w:tc>
        <w:tc>
          <w:tcPr>
            <w:cnfStyle w:evenVBand="false" w:oddVBand="true" w:firstColumn="false"/>
            <w:tcW w:w="11.434303%" w:type="pct"/>
          </w:tcPr>
          <w:p>
            <w:pPr>
              <w:pStyle w:val="table-level-1"/>
              <w:ind w:leftChars="0" w:left="0" w:right="0"/>
              <w:keepNext/>
            </w:pPr>
            <w:r>
              <w:t>5.911</w:t>
            </w:r>
          </w:p>
        </w:tc>
        <w:tc>
          <w:tcPr>
            <w:cnfStyle w:evenVBand="true" w:oddVBand="false" w:firstColumn="false"/>
            <w:tcW w:w="11.434303%" w:type="pct"/>
          </w:tcPr>
          <w:p>
            <w:pPr>
              <w:pStyle w:val="table-level-1"/>
              <w:ind w:leftChars="0" w:left="0" w:right="0"/>
              <w:keepNext/>
            </w:pPr>
            <w:r>
              <w:t>4.481</w:t>
            </w:r>
          </w:p>
        </w:tc>
        <w:tc>
          <w:tcPr>
            <w:cnfStyle w:evenVBand="false" w:oddVBand="true" w:firstColumn="false"/>
            <w:tcW w:w="11.434303%" w:type="pct"/>
          </w:tcPr>
          <w:p>
            <w:pPr>
              <w:pStyle w:val="table-level-1"/>
              <w:ind w:leftChars="0" w:left="0" w:right="0"/>
              <w:keepNext/>
            </w:pPr>
            <w:r>
              <w:t>4.285</w:t>
            </w:r>
          </w:p>
        </w:tc>
        <w:tc>
          <w:tcPr>
            <w:cnfStyle w:evenVBand="true" w:oddVBand="false" w:firstColumn="false"/>
            <w:tcW w:w="11.434303%" w:type="pct"/>
          </w:tcPr>
          <w:p>
            <w:pPr>
              <w:pStyle w:val="table-level-1"/>
              <w:ind w:leftChars="0" w:left="0" w:right="0"/>
              <w:keepNext/>
            </w:pPr>
            <w:r>
              <w:t>3.632</w:t>
            </w:r>
          </w:p>
        </w:tc>
        <w:tc>
          <w:tcPr>
            <w:cnfStyle w:evenVBand="false" w:oddVBand="true" w:firstColumn="false"/>
            <w:tcW w:w="11.434303%" w:type="pct"/>
          </w:tcPr>
          <w:p>
            <w:pPr>
              <w:pStyle w:val="table-level-1"/>
              <w:ind w:leftChars="0" w:left="0" w:right="0"/>
              <w:keepNext/>
            </w:pPr>
            <w:r>
              <w:t>3.079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e6961b6f453ac332c253e2cc1085431c">
              <w:r>
                <w:rPr>
                  <w:rStyle w:val="Hyperlink"/>
                </w:rPr>
                <w:t>Crediti versamenti soci</w:t>
              </w:r>
            </w:hyperlink>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e5284d0cb4419cb41d8a0be9a642060f">
              <w:r>
                <w:rPr>
                  <w:rStyle w:val="Hyperlink"/>
                </w:rPr>
                <w:t>Immobilizzazioni immateriali</w:t>
              </w:r>
            </w:hyperlink>
          </w:p>
        </w:tc>
        <w:tc>
          <w:tcPr>
            <w:cnfStyle w:evenVBand="true" w:oddVBand="false" w:firstColumn="false"/>
            <w:tcW w:w="11.434303%" w:type="pct"/>
          </w:tcPr>
          <w:p>
            <w:pPr>
              <w:pStyle w:val="table-level-0"/>
              <w:ind w:leftChars="0" w:left="0" w:right="0"/>
              <w:keepNext/>
            </w:pPr>
            <w:r>
              <w:t>239,8</w:t>
            </w:r>
          </w:p>
        </w:tc>
        <w:tc>
          <w:tcPr>
            <w:cnfStyle w:evenVBand="false" w:oddVBand="true" w:firstColumn="false"/>
            <w:tcW w:w="11.434303%" w:type="pct"/>
          </w:tcPr>
          <w:p>
            <w:pPr>
              <w:pStyle w:val="table-level-0"/>
              <w:ind w:leftChars="0" w:left="0" w:right="0"/>
              <w:keepNext/>
            </w:pPr>
            <w:r>
              <w:t>206,7</w:t>
            </w:r>
          </w:p>
        </w:tc>
        <w:tc>
          <w:tcPr>
            <w:cnfStyle w:evenVBand="true" w:oddVBand="false" w:firstColumn="false"/>
            <w:tcW w:w="11.434303%" w:type="pct"/>
          </w:tcPr>
          <w:p>
            <w:pPr>
              <w:pStyle w:val="table-level-0"/>
              <w:ind w:leftChars="0" w:left="0" w:right="0"/>
              <w:keepNext/>
            </w:pPr>
            <w:r>
              <w:t>201,8</w:t>
            </w:r>
          </w:p>
        </w:tc>
        <w:tc>
          <w:tcPr>
            <w:cnfStyle w:evenVBand="false" w:oddVBand="true" w:firstColumn="false"/>
            <w:tcW w:w="11.434303%" w:type="pct"/>
          </w:tcPr>
          <w:p>
            <w:pPr>
              <w:pStyle w:val="table-level-0"/>
              <w:ind w:leftChars="0" w:left="0" w:right="0"/>
              <w:keepNext/>
            </w:pPr>
            <w:r>
              <w:t>154</w:t>
            </w:r>
          </w:p>
        </w:tc>
        <w:tc>
          <w:tcPr>
            <w:cnfStyle w:evenVBand="true" w:oddVBand="false" w:firstColumn="false"/>
            <w:tcW w:w="11.434303%" w:type="pct"/>
          </w:tcPr>
          <w:p>
            <w:pPr>
              <w:pStyle w:val="table-level-0"/>
              <w:ind w:leftChars="0" w:left="0" w:right="0"/>
              <w:keepNext/>
            </w:pPr>
            <w:r>
              <w:t>153</w:t>
            </w:r>
          </w:p>
        </w:tc>
        <w:tc>
          <w:tcPr>
            <w:cnfStyle w:evenVBand="false" w:oddVBand="true" w:firstColumn="false"/>
            <w:tcW w:w="11.434303%" w:type="pct"/>
          </w:tcPr>
          <w:p>
            <w:pPr>
              <w:pStyle w:val="table-level-0"/>
              <w:ind w:leftChars="0" w:left="0" w:right="0"/>
              <w:keepNext/>
            </w:pPr>
            <w:r>
              <w:t>165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fa202cd8c4eab64b45cfba53036914b1">
              <w:r>
                <w:rPr>
                  <w:rStyle w:val="Hyperlink"/>
                </w:rPr>
                <w:t>Immobilizzazioni materiali</w:t>
              </w:r>
            </w:hyperlink>
          </w:p>
        </w:tc>
        <w:tc>
          <w:tcPr>
            <w:cnfStyle w:evenVBand="true" w:oddVBand="false" w:firstColumn="false"/>
            <w:tcW w:w="11.434303%" w:type="pct"/>
          </w:tcPr>
          <w:p>
            <w:pPr>
              <w:pStyle w:val="table-level-0"/>
              <w:ind w:leftChars="0" w:left="0" w:right="0"/>
              <w:keepNext/>
            </w:pPr>
            <w:r>
              <w:t>6.752</w:t>
            </w:r>
          </w:p>
        </w:tc>
        <w:tc>
          <w:tcPr>
            <w:cnfStyle w:evenVBand="false" w:oddVBand="true" w:firstColumn="false"/>
            <w:tcW w:w="11.434303%" w:type="pct"/>
          </w:tcPr>
          <w:p>
            <w:pPr>
              <w:pStyle w:val="table-level-0"/>
              <w:ind w:leftChars="0" w:left="0" w:right="0"/>
              <w:keepNext/>
            </w:pPr>
            <w:r>
              <w:t>5.787</w:t>
            </w:r>
          </w:p>
        </w:tc>
        <w:tc>
          <w:tcPr>
            <w:cnfStyle w:evenVBand="true" w:oddVBand="false" w:firstColumn="false"/>
            <w:tcW w:w="11.434303%" w:type="pct"/>
          </w:tcPr>
          <w:p>
            <w:pPr>
              <w:pStyle w:val="table-level-0"/>
              <w:ind w:leftChars="0" w:left="0" w:right="0"/>
              <w:keepNext/>
            </w:pPr>
            <w:r>
              <w:t>4.416</w:t>
            </w:r>
          </w:p>
        </w:tc>
        <w:tc>
          <w:tcPr>
            <w:cnfStyle w:evenVBand="false" w:oddVBand="true" w:firstColumn="false"/>
            <w:tcW w:w="11.434303%" w:type="pct"/>
          </w:tcPr>
          <w:p>
            <w:pPr>
              <w:pStyle w:val="table-level-0"/>
              <w:ind w:leftChars="0" w:left="0" w:right="0"/>
              <w:keepNext/>
            </w:pPr>
            <w:r>
              <w:t>4.216</w:t>
            </w:r>
          </w:p>
        </w:tc>
        <w:tc>
          <w:tcPr>
            <w:cnfStyle w:evenVBand="true" w:oddVBand="false" w:firstColumn="false"/>
            <w:tcW w:w="11.434303%" w:type="pct"/>
          </w:tcPr>
          <w:p>
            <w:pPr>
              <w:pStyle w:val="table-level-0"/>
              <w:ind w:leftChars="0" w:left="0" w:right="0"/>
              <w:keepNext/>
            </w:pPr>
            <w:r>
              <w:t>3.541</w:t>
            </w:r>
          </w:p>
        </w:tc>
        <w:tc>
          <w:tcPr>
            <w:cnfStyle w:evenVBand="false" w:oddVBand="true" w:firstColumn="false"/>
            <w:tcW w:w="11.434303%" w:type="pct"/>
          </w:tcPr>
          <w:p>
            <w:pPr>
              <w:pStyle w:val="table-level-0"/>
              <w:ind w:leftChars="0" w:left="0" w:right="0"/>
              <w:keepNext/>
            </w:pPr>
            <w:r>
              <w:t>2.985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9c6fc2f8c7e819475834f5f947b1a56">
              <w:r>
                <w:rPr>
                  <w:rStyle w:val="Hyperlink"/>
                </w:rPr>
                <w:t>Immobilizzazioni finanziarie</w:t>
              </w:r>
            </w:hyperlink>
          </w:p>
        </w:tc>
        <w:tc>
          <w:tcPr>
            <w:cnfStyle w:evenVBand="true" w:oddVBand="false" w:firstColumn="false"/>
            <w:tcW w:w="11.434303%" w:type="pct"/>
          </w:tcPr>
          <w:p>
            <w:pPr>
              <w:pStyle w:val="table-level-0"/>
              <w:ind w:leftChars="0" w:left="0" w:right="0"/>
              <w:keepNext/>
            </w:pPr>
            <w:r>
              <w:t>51</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41</w:t>
            </w:r>
          </w:p>
        </w:tc>
        <w:tc>
          <w:tcPr>
            <w:cnfStyle w:evenVBand="false" w:oddVBand="true" w:firstColumn="false"/>
            <w:tcW w:w="11.434303%" w:type="pct"/>
          </w:tcPr>
          <w:p>
            <w:pPr>
              <w:pStyle w:val="table-level-0"/>
              <w:ind w:leftChars="0" w:left="0" w:right="0"/>
              <w:keepNext/>
            </w:pPr>
            <w:r>
              <w:t>43</w:t>
            </w:r>
          </w:p>
        </w:tc>
        <w:tc>
          <w:tcPr>
            <w:cnfStyle w:evenVBand="true" w:oddVBand="false" w:firstColumn="false"/>
            <w:tcW w:w="11.434303%" w:type="pct"/>
          </w:tcPr>
          <w:p>
            <w:pPr>
              <w:pStyle w:val="table-level-0"/>
              <w:ind w:leftChars="0" w:left="0" w:right="0"/>
              <w:keepNext/>
            </w:pPr>
            <w:r>
              <w:t>40,9</w:t>
            </w:r>
          </w:p>
        </w:tc>
        <w:tc>
          <w:tcPr>
            <w:cnfStyle w:evenVBand="false" w:oddVBand="true" w:firstColumn="false"/>
            <w:tcW w:w="11.434303%" w:type="pct"/>
          </w:tcPr>
          <w:p>
            <w:pPr>
              <w:pStyle w:val="table-level-0"/>
              <w:ind w:leftChars="0" w:left="0" w:right="0"/>
              <w:keepNext/>
            </w:pPr>
            <w:r>
              <w:t>38,6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fd5ad78356e83131ad5f2c736967845e">
              <w:r>
                <w:rPr>
                  <w:rStyle w:val="Hyperlink"/>
                </w:rPr>
                <w:t>Fondi</w:t>
              </w:r>
            </w:hyperlink>
          </w:p>
        </w:tc>
        <w:tc>
          <w:tcPr>
            <w:cnfStyle w:evenVBand="true" w:oddVBand="false" w:firstColumn="false"/>
            <w:tcW w:w="11.434303%" w:type="pct"/>
          </w:tcPr>
          <w:p>
            <w:pPr>
              <w:pStyle w:val="table-level-0"/>
              <w:ind w:leftChars="0" w:left="0" w:right="0"/>
              <w:keepNext/>
            </w:pPr>
            <w:r>
              <w:t>-440</w:t>
            </w:r>
          </w:p>
        </w:tc>
        <w:tc>
          <w:tcPr>
            <w:cnfStyle w:evenVBand="false" w:oddVBand="true" w:firstColumn="false"/>
            <w:tcW w:w="11.434303%" w:type="pct"/>
          </w:tcPr>
          <w:p>
            <w:pPr>
              <w:pStyle w:val="table-level-0"/>
              <w:ind w:leftChars="0" w:left="0" w:right="0"/>
              <w:keepNext/>
            </w:pPr>
            <w:r>
              <w:t>-322,5</w:t>
            </w:r>
          </w:p>
        </w:tc>
        <w:tc>
          <w:tcPr>
            <w:cnfStyle w:evenVBand="true" w:oddVBand="false" w:firstColumn="false"/>
            <w:tcW w:w="11.434303%" w:type="pct"/>
          </w:tcPr>
          <w:p>
            <w:pPr>
              <w:pStyle w:val="table-level-0"/>
              <w:ind w:leftChars="0" w:left="0" w:right="0"/>
              <w:keepNext/>
            </w:pPr>
            <w:r>
              <w:t>-228</w:t>
            </w:r>
          </w:p>
        </w:tc>
        <w:tc>
          <w:tcPr>
            <w:cnfStyle w:evenVBand="false" w:oddVBand="true" w:firstColumn="false"/>
            <w:tcW w:w="11.434303%" w:type="pct"/>
          </w:tcPr>
          <w:p>
            <w:pPr>
              <w:pStyle w:val="table-level-0"/>
              <w:ind w:leftChars="0" w:left="0" w:right="0"/>
              <w:keepNext/>
            </w:pPr>
            <w:r>
              <w:t>-127,6</w:t>
            </w:r>
          </w:p>
        </w:tc>
        <w:tc>
          <w:tcPr>
            <w:cnfStyle w:evenVBand="true" w:oddVBand="false" w:firstColumn="false"/>
            <w:tcW w:w="11.434303%" w:type="pct"/>
          </w:tcPr>
          <w:p>
            <w:pPr>
              <w:pStyle w:val="table-level-0"/>
              <w:ind w:leftChars="0" w:left="0" w:right="0"/>
              <w:keepNext/>
            </w:pPr>
            <w:r>
              <w:t>-103</w:t>
            </w:r>
          </w:p>
        </w:tc>
        <w:tc>
          <w:tcPr>
            <w:cnfStyle w:evenVBand="false" w:oddVBand="true" w:firstColumn="false"/>
            <w:tcW w:w="11.434303%" w:type="pct"/>
          </w:tcPr>
          <w:p>
            <w:pPr>
              <w:pStyle w:val="table-level-0"/>
              <w:ind w:leftChars="0" w:left="0" w:right="0"/>
              <w:keepNext/>
            </w:pPr>
            <w:r>
              <w:t>-110</w:t>
            </w:r>
          </w:p>
        </w:tc>
      </w:tr>
    </w:tbl>
    <w:p>
      <w:pPr>
        <w:pStyle w:val="TableBottomMargin"/>
      </w:pPr>
    </w:p>
    <w:p>
      <w:pPr>
        <w:pStyle w:val="BodyText"/>
        <w:ind w:leftChars="0" w:left="0" w:right="0"/>
      </w:pPr>
      <w:r>
        <w:t xml:space="preserve">Dal prospetto si evince che al 31 dicembre 2022 il valore della voce </w:t>
      </w:r>
      <w:r>
        <w:rPr>
          <w:i/>
          <w:iCs/>
        </w:rPr>
        <w:t>Attivo fisso netto</w:t>
      </w:r>
      <w:r>
        <w:t xml:space="preserve"> è pari a € 6.602.603 ed è in crescita del 12% rispetto al 31 dicembre 2021.</w:t>
      </w:r>
    </w:p>
    <w:p>
      <w:pPr>
        <w:pStyle w:val="BodyText"/>
        <w:ind w:leftChars="0" w:left="0" w:right="0"/>
      </w:pPr>
      <w:r>
        <w:t xml:space="preserve">Il grafico seguente mostra l’analisi dell’andamento della voce </w:t>
      </w:r>
      <w:r>
        <w:rPr>
          <w:i/>
          <w:iCs/>
        </w:rPr>
        <w:t>Attivo fisso netto</w:t>
      </w:r>
      <w:r>
        <w:t xml:space="preserve"> dal 31 dicembre 2017 al 31 dicembre 2022. Tale valore risulta in crescita del 114%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2" name="0cc83ed936fa24e87b3c5113c7702d09.png" descr="_static/temp/0cc83ed936fa24e87b3c5113c7702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cc83ed936fa24e87b3c5113c7702d09.png" descr="_static/temp/0cc83ed936fa24e87b3c5113c7702d09.png"/>
                    <pic:cNvPicPr>
                      <a:picLocks noChangeAspect="1" noChangeArrowheads="1"/>
                    </pic:cNvPicPr>
                  </pic:nvPicPr>
                  <pic:blipFill>
                    <a:blip xmlns:r="http://schemas.openxmlformats.org/officeDocument/2006/relationships" r:embed="rId5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Attivo fisso netto</w:t>
      </w:r>
      <w:r>
        <w:t xml:space="preserve"> al 31 dicembre 2022, la componente più significativa è rappresentata dalla voce </w:t>
      </w:r>
      <w:r>
        <w:rPr>
          <w:i/>
          <w:iCs/>
        </w:rPr>
        <w:t>Immobilizzazioni materiali</w:t>
      </w:r>
      <w:r>
        <w:t xml:space="preserve"> con un valore pari a 6.751.823 €. Il grafico seguente visualizza la ripartizione di tutte le componenti della voce </w:t>
      </w:r>
      <w:r>
        <w:rPr>
          <w:i/>
          <w:iCs/>
        </w:rPr>
        <w:t>Attivo fisso netto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3" name="5273d703d6cc92f69d15c3fe3070a15d.png" descr="_static/temp/5273d703d6cc92f69d15c3fe3070a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273d703d6cc92f69d15c3fe3070a15d.png" descr="_static/temp/5273d703d6cc92f69d15c3fe3070a15d.png"/>
                    <pic:cNvPicPr>
                      <a:picLocks noChangeAspect="1" noChangeArrowheads="1"/>
                    </pic:cNvPicPr>
                  </pic:nvPicPr>
                  <pic:blipFill>
                    <a:blip xmlns:r="http://schemas.openxmlformats.org/officeDocument/2006/relationships" r:embed="rId56"/>
                    <a:srcRect/>
                    <a:stretch>
                      <a:fillRect/>
                    </a:stretch>
                  </pic:blipFill>
                  <pic:spPr bwMode="auto">
                    <a:xfrm>
                      <a:off x="0" y="0"/>
                      <a:ext cx="6476365" cy="3266766"/>
                    </a:xfrm>
                    <a:prstGeom prst="rect">
                      <a:avLst/>
                    </a:prstGeom>
                    <a:noFill/>
                  </pic:spPr>
                </pic:pic>
              </a:graphicData>
            </a:graphic>
          </wp:inline>
        </w:drawing>
      </w:r>
    </w:p>
    <w:bookmarkStart w:id="509" w:name="_66a29ab24fcf5c5f1f32701f090c67df"/>
    <w:bookmarkStart w:id="510" w:name="_e6961b6f453ac332c253e2cc1085431c"/>
    <w:p>
      <w:pPr>
        <w:pStyle w:val="Heading4"/>
        <w:keepNext/>
      </w:pPr>
      <w:r>
        <w:t>Crediti verso soci per versamenti ancora dovuti</w:t>
      </w:r>
    </w:p>
    <w:p>
      <w:pPr>
        <w:pStyle w:val="BodyText"/>
        <w:ind w:leftChars="0" w:left="0" w:right="0"/>
      </w:pPr>
      <w:r>
        <w:t>La presente sottosezione dell'</w:t>
      </w:r>
      <w:hyperlink w:anchor="_1614ca74203022fc214f210368e7f8a7">
        <w:r>
          <w:rPr>
            <w:rStyle w:val="Hyperlink"/>
          </w:rPr>
          <w:t>Attivo fisso netto</w:t>
        </w:r>
      </w:hyperlink>
      <w:r>
        <w:t xml:space="preserve"> è dedicata ai crediti verso soci. Questi rappresentano crediti ancora dovuti per versamenti a titolo di capitale di rischio.</w:t>
      </w:r>
    </w:p>
    <w:p>
      <w:pPr>
        <w:pStyle w:val="BodyText"/>
        <w:ind w:leftChars="0" w:left="0" w:right="0"/>
      </w:pPr>
      <w:r>
        <w:t xml:space="preserve">Il prospetto seguente illustra il dettaglio analitico della voce </w:t>
      </w:r>
      <w:r>
        <w:rPr>
          <w:i/>
          <w:iCs/>
        </w:rPr>
        <w:t>Crediti verso soci per versamenti ancora dovuti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6961b6f453ac332c253e2cc1085431c">
              <w:r>
                <w:rPr>
                  <w:rStyle w:val="Hyperlink"/>
                </w:rPr>
                <w:t>Crediti versamenti soci</w:t>
              </w:r>
            </w:hyperlink>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200</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r>
    </w:tbl>
    <w:p>
      <w:pPr>
        <w:pStyle w:val="TableBottomMargin"/>
      </w:pPr>
    </w:p>
    <w:p>
      <w:pPr>
        <w:pStyle w:val="BodyText"/>
        <w:ind w:leftChars="0" w:left="0" w:right="0"/>
      </w:pPr>
      <w:r>
        <w:t xml:space="preserve">Dal prospetto si evince che al 31 dicembre 2022 il valore della voce </w:t>
      </w:r>
      <w:r>
        <w:rPr>
          <w:i/>
          <w:iCs/>
        </w:rPr>
        <w:t>Crediti verso soci per versamenti ancora dovuti</w:t>
      </w:r>
      <w:r>
        <w:t xml:space="preserve"> è pari a € 0 ed è in diminuzione del 100% rispetto al 31 dicembre 2021.</w:t>
      </w:r>
    </w:p>
    <w:bookmarkEnd w:id="509"/>
    <w:bookmarkEnd w:id="510"/>
    <w:bookmarkStart w:id="511" w:name="_a00cd79fd481e4bb1e3dd86fb9aa13bd"/>
    <w:bookmarkStart w:id="512" w:name="_e5284d0cb4419cb41d8a0be9a642060f"/>
    <w:p>
      <w:pPr>
        <w:pStyle w:val="Heading4"/>
        <w:keepNext/>
      </w:pPr>
      <w:r>
        <w:t>Immobilizzazioni immateriali</w:t>
      </w:r>
    </w:p>
    <w:p>
      <w:pPr>
        <w:pStyle w:val="BodyText"/>
        <w:ind w:leftChars="0" w:left="0" w:right="0"/>
      </w:pPr>
      <w:r>
        <w:t>La presente sottosezione dell'</w:t>
      </w:r>
      <w:hyperlink w:anchor="_1614ca74203022fc214f210368e7f8a7">
        <w:r>
          <w:rPr>
            <w:rStyle w:val="Hyperlink"/>
          </w:rPr>
          <w:t>Attivo fisso netto</w:t>
        </w:r>
      </w:hyperlink>
      <w:r>
        <w:t xml:space="preserve"> è dedicata alle immobilizzazioni immateriali. Queste rappresentano investimenti in beni intangibili che manifestano benefici economici in un orizzonte temporale medio-lungo.</w:t>
      </w:r>
    </w:p>
    <w:p>
      <w:pPr>
        <w:pStyle w:val="BodyText"/>
        <w:ind w:leftChars="0" w:left="0" w:right="0"/>
      </w:pPr>
      <w:r>
        <w:t xml:space="preserve">Il prospetto seguente illustra il dettaglio analitico della voce </w:t>
      </w:r>
      <w:r>
        <w:rPr>
          <w:i/>
          <w:iCs/>
        </w:rPr>
        <w:t>Immobilizzazioni immateriali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e5284d0cb4419cb41d8a0be9a642060f">
              <w:r>
                <w:rPr>
                  <w:rStyle w:val="Hyperlink"/>
                </w:rPr>
                <w:t>Immobilizzazioni immateriali</w:t>
              </w:r>
            </w:hyperlink>
          </w:p>
        </w:tc>
        <w:tc>
          <w:tcPr>
            <w:cnfStyle w:evenVBand="true" w:oddVBand="false" w:firstColumn="false"/>
            <w:tcW w:w="11.434303%" w:type="pct"/>
          </w:tcPr>
          <w:p>
            <w:pPr>
              <w:pStyle w:val="table-level-1"/>
              <w:ind w:leftChars="0" w:left="0" w:right="0"/>
              <w:keepNext/>
            </w:pPr>
            <w:r>
              <w:t>239,8</w:t>
            </w:r>
          </w:p>
        </w:tc>
        <w:tc>
          <w:tcPr>
            <w:cnfStyle w:evenVBand="false" w:oddVBand="true" w:firstColumn="false"/>
            <w:tcW w:w="11.434303%" w:type="pct"/>
          </w:tcPr>
          <w:p>
            <w:pPr>
              <w:pStyle w:val="table-level-1"/>
              <w:ind w:leftChars="0" w:left="0" w:right="0"/>
              <w:keepNext/>
            </w:pPr>
            <w:r>
              <w:t>206,7</w:t>
            </w:r>
          </w:p>
        </w:tc>
        <w:tc>
          <w:tcPr>
            <w:cnfStyle w:evenVBand="true" w:oddVBand="false" w:firstColumn="false"/>
            <w:tcW w:w="11.434303%" w:type="pct"/>
          </w:tcPr>
          <w:p>
            <w:pPr>
              <w:pStyle w:val="table-level-1"/>
              <w:ind w:leftChars="0" w:left="0" w:right="0"/>
              <w:keepNext/>
            </w:pPr>
            <w:r>
              <w:t>201,8</w:t>
            </w:r>
          </w:p>
        </w:tc>
        <w:tc>
          <w:tcPr>
            <w:cnfStyle w:evenVBand="false" w:oddVBand="true" w:firstColumn="false"/>
            <w:tcW w:w="11.434303%" w:type="pct"/>
          </w:tcPr>
          <w:p>
            <w:pPr>
              <w:pStyle w:val="table-level-1"/>
              <w:ind w:leftChars="0" w:left="0" w:right="0"/>
              <w:keepNext/>
            </w:pPr>
            <w:r>
              <w:t>154</w:t>
            </w:r>
          </w:p>
        </w:tc>
        <w:tc>
          <w:tcPr>
            <w:cnfStyle w:evenVBand="true" w:oddVBand="false" w:firstColumn="false"/>
            <w:tcW w:w="11.434303%" w:type="pct"/>
          </w:tcPr>
          <w:p>
            <w:pPr>
              <w:pStyle w:val="table-level-1"/>
              <w:ind w:leftChars="0" w:left="0" w:right="0"/>
              <w:keepNext/>
            </w:pPr>
            <w:r>
              <w:t>153</w:t>
            </w:r>
          </w:p>
        </w:tc>
        <w:tc>
          <w:tcPr>
            <w:cnfStyle w:evenVBand="false" w:oddVBand="true" w:firstColumn="false"/>
            <w:tcW w:w="11.434303%" w:type="pct"/>
          </w:tcPr>
          <w:p>
            <w:pPr>
              <w:pStyle w:val="table-level-1"/>
              <w:ind w:leftChars="0" w:left="0" w:right="0"/>
              <w:keepNext/>
            </w:pPr>
            <w:r>
              <w:t>165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Costi di impianto</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Costi di pubblicità e R&amp;S</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40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Diritti di brevetto</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Concessioni, licenze, marchi</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Avviamento</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Immobilizzazioni immat. in corso</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Altre immob. immateriali</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Fondi ammortamento</w:t>
            </w:r>
          </w:p>
        </w:tc>
        <w:tc>
          <w:tcPr>
            <w:cnfStyle w:evenVBand="true" w:oddVBand="false" w:firstColumn="false"/>
            <w:tcW w:w="11.434303%" w:type="pct"/>
          </w:tcPr>
          <w:p>
            <w:pPr>
              <w:pStyle w:val="table-level-100"/>
              <w:ind w:leftChars="0" w:left="0" w:right="0"/>
              <w:keepNext/>
            </w:pPr>
            <w:r>
              <w:t>-249,7</w:t>
            </w:r>
          </w:p>
        </w:tc>
        <w:tc>
          <w:tcPr>
            <w:cnfStyle w:evenVBand="false" w:oddVBand="true" w:firstColumn="false"/>
            <w:tcW w:w="11.434303%" w:type="pct"/>
          </w:tcPr>
          <w:p>
            <w:pPr>
              <w:pStyle w:val="table-level-100"/>
              <w:ind w:leftChars="0" w:left="0" w:right="0"/>
              <w:keepNext/>
            </w:pPr>
            <w:r>
              <w:t>-209,8</w:t>
            </w:r>
          </w:p>
        </w:tc>
        <w:tc>
          <w:tcPr>
            <w:cnfStyle w:evenVBand="true" w:oddVBand="false" w:firstColumn="false"/>
            <w:tcW w:w="11.434303%" w:type="pct"/>
          </w:tcPr>
          <w:p>
            <w:pPr>
              <w:pStyle w:val="table-level-100"/>
              <w:ind w:leftChars="0" w:left="0" w:right="0"/>
              <w:keepNext/>
            </w:pPr>
            <w:r>
              <w:t>-176,2</w:t>
            </w:r>
          </w:p>
        </w:tc>
        <w:tc>
          <w:tcPr>
            <w:cnfStyle w:evenVBand="false" w:oddVBand="true" w:firstColumn="false"/>
            <w:tcW w:w="11.434303%" w:type="pct"/>
          </w:tcPr>
          <w:p>
            <w:pPr>
              <w:pStyle w:val="table-level-100"/>
              <w:ind w:leftChars="0" w:left="0" w:right="0"/>
              <w:keepNext/>
            </w:pPr>
            <w:r>
              <w:t>-146</w:t>
            </w:r>
          </w:p>
        </w:tc>
        <w:tc>
          <w:tcPr>
            <w:cnfStyle w:evenVBand="true" w:oddVBand="false" w:firstColumn="false"/>
            <w:tcW w:w="11.434303%" w:type="pct"/>
          </w:tcPr>
          <w:p>
            <w:pPr>
              <w:pStyle w:val="table-level-100"/>
              <w:ind w:leftChars="0" w:left="0" w:right="0"/>
              <w:keepNext/>
            </w:pPr>
            <w:r>
              <w:t>-122</w:t>
            </w:r>
          </w:p>
        </w:tc>
        <w:tc>
          <w:tcPr>
            <w:cnfStyle w:evenVBand="false" w:oddVBand="true" w:firstColumn="false"/>
            <w:tcW w:w="11.434303%" w:type="pct"/>
          </w:tcPr>
          <w:p>
            <w:pPr>
              <w:pStyle w:val="table-level-100"/>
              <w:ind w:leftChars="0" w:left="0" w:right="0"/>
              <w:keepNext/>
            </w:pPr>
            <w:r>
              <w:t>-100</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-10</w:t>
            </w:r>
          </w:p>
        </w:tc>
        <w:tc>
          <w:tcPr>
            <w:cnfStyle w:evenVBand="false" w:oddVBand="true" w:firstColumn="false"/>
            <w:tcW w:w="11.434303%" w:type="pct"/>
          </w:tcPr>
          <w:p>
            <w:pPr>
              <w:pStyle w:val="table-level-100"/>
              <w:ind w:leftChars="0" w:left="0" w:right="0"/>
              <w:keepNext/>
            </w:pPr>
            <w:r>
              <w:t>-2,5</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r>
    </w:tbl>
    <w:p>
      <w:pPr>
        <w:pStyle w:val="TableBottomMargin"/>
      </w:pPr>
    </w:p>
    <w:p>
      <w:pPr>
        <w:pStyle w:val="BodyText"/>
        <w:ind w:leftChars="0" w:left="0" w:right="0"/>
      </w:pPr>
      <w:r>
        <w:t xml:space="preserve">Dal prospetto si evince che al 31 dicembre 2022 il valore della voce </w:t>
      </w:r>
      <w:r>
        <w:rPr>
          <w:i/>
          <w:iCs/>
        </w:rPr>
        <w:t>Immobilizzazioni immateriali</w:t>
      </w:r>
      <w:r>
        <w:t xml:space="preserve"> è pari a € 239.780 ed è in crescita del 16% rispetto al 31 dicembre 2021.</w:t>
      </w:r>
    </w:p>
    <w:p>
      <w:pPr>
        <w:pStyle w:val="BodyText"/>
        <w:ind w:leftChars="0" w:left="0" w:right="0"/>
      </w:pPr>
      <w:r>
        <w:t xml:space="preserve">Il grafico seguente mostra l’analisi dell’andamento della voce </w:t>
      </w:r>
      <w:r>
        <w:rPr>
          <w:i/>
          <w:iCs/>
        </w:rPr>
        <w:t>Immobilizzazioni immateriali</w:t>
      </w:r>
      <w:r>
        <w:t xml:space="preserve"> dal 31 dicembre 2017 al 31 dicembre 2022. Tale valore risulta in crescita del 45%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4" name="2d63952a35468729366a216ef707d36a.png" descr="_static/temp/2d63952a35468729366a216ef707d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d63952a35468729366a216ef707d36a.png" descr="_static/temp/2d63952a35468729366a216ef707d36a.png"/>
                    <pic:cNvPicPr>
                      <a:picLocks noChangeAspect="1" noChangeArrowheads="1"/>
                    </pic:cNvPicPr>
                  </pic:nvPicPr>
                  <pic:blipFill>
                    <a:blip xmlns:r="http://schemas.openxmlformats.org/officeDocument/2006/relationships" r:embed="rId5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Immobilizzazioni immateriali</w:t>
      </w:r>
      <w:r>
        <w:t xml:space="preserve"> al 31 dicembre 2022, la componente più significativa è rappresentata dalla voce </w:t>
      </w:r>
      <w:r>
        <w:rPr>
          <w:i/>
          <w:iCs/>
        </w:rPr>
        <w:t>Diritti di brevetto</w:t>
      </w:r>
      <w:r>
        <w:t xml:space="preserve"> con un valore pari a 150.000 €. Il grafico seguente visualizza la ripartizione di tutte le componenti della voce </w:t>
      </w:r>
      <w:r>
        <w:rPr>
          <w:i/>
          <w:iCs/>
        </w:rPr>
        <w:t>Immobilizzazioni immateriali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5" name="fd0d0d608d935f3de0944e6df95f4702.png" descr="_static/temp/fd0d0d608d935f3de0944e6df95f4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d0d0d608d935f3de0944e6df95f4702.png" descr="_static/temp/fd0d0d608d935f3de0944e6df95f4702.png"/>
                    <pic:cNvPicPr>
                      <a:picLocks noChangeAspect="1" noChangeArrowheads="1"/>
                    </pic:cNvPicPr>
                  </pic:nvPicPr>
                  <pic:blipFill>
                    <a:blip xmlns:r="http://schemas.openxmlformats.org/officeDocument/2006/relationships" r:embed="rId58"/>
                    <a:srcRect/>
                    <a:stretch>
                      <a:fillRect/>
                    </a:stretch>
                  </pic:blipFill>
                  <pic:spPr bwMode="auto">
                    <a:xfrm>
                      <a:off x="0" y="0"/>
                      <a:ext cx="6476365" cy="3266766"/>
                    </a:xfrm>
                    <a:prstGeom prst="rect">
                      <a:avLst/>
                    </a:prstGeom>
                    <a:noFill/>
                  </pic:spPr>
                </pic:pic>
              </a:graphicData>
            </a:graphic>
          </wp:inline>
        </w:drawing>
      </w:r>
    </w:p>
    <w:bookmarkEnd w:id="511"/>
    <w:bookmarkEnd w:id="512"/>
    <w:bookmarkStart w:id="513" w:name="_011174f4fd1a25b03ddfa5a345e03b3e"/>
    <w:bookmarkStart w:id="514" w:name="_fa202cd8c4eab64b45cfba53036914b1"/>
    <w:p>
      <w:pPr>
        <w:pStyle w:val="Heading4"/>
        <w:keepNext/>
      </w:pPr>
      <w:r>
        <w:t>Immobilizzazioni materiali</w:t>
      </w:r>
    </w:p>
    <w:p>
      <w:pPr>
        <w:pStyle w:val="BodyText"/>
        <w:ind w:leftChars="0" w:left="0" w:right="0"/>
      </w:pPr>
      <w:r>
        <w:t>La presente sottosezione dell'</w:t>
      </w:r>
      <w:hyperlink w:anchor="_1614ca74203022fc214f210368e7f8a7">
        <w:r>
          <w:rPr>
            <w:rStyle w:val="Hyperlink"/>
          </w:rPr>
          <w:t>Attivo fisso netto</w:t>
        </w:r>
      </w:hyperlink>
      <w:r>
        <w:t xml:space="preserve"> è dedicata alle immobilizzazioni materiali. Queste rappresentano investimenti in beni tangibili che manifestano benefici economici in un orizzonte temporale medio-lungo.</w:t>
      </w:r>
    </w:p>
    <w:p>
      <w:pPr>
        <w:pStyle w:val="BodyText"/>
        <w:ind w:leftChars="0" w:left="0" w:right="0"/>
      </w:pPr>
      <w:r>
        <w:t xml:space="preserve">Il prospetto seguente illustra il dettaglio analitico della voce </w:t>
      </w:r>
      <w:r>
        <w:rPr>
          <w:i/>
          <w:iCs/>
        </w:rPr>
        <w:t>Immobilizzazioni materiali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fa202cd8c4eab64b45cfba53036914b1">
              <w:r>
                <w:rPr>
                  <w:rStyle w:val="Hyperlink"/>
                </w:rPr>
                <w:t>Immobilizzazioni materiali</w:t>
              </w:r>
            </w:hyperlink>
          </w:p>
        </w:tc>
        <w:tc>
          <w:tcPr>
            <w:cnfStyle w:evenVBand="true" w:oddVBand="false" w:firstColumn="false"/>
            <w:tcW w:w="11.434303%" w:type="pct"/>
          </w:tcPr>
          <w:p>
            <w:pPr>
              <w:pStyle w:val="table-level-1"/>
              <w:ind w:leftChars="0" w:left="0" w:right="0"/>
              <w:keepNext/>
            </w:pPr>
            <w:r>
              <w:t>6.752</w:t>
            </w:r>
          </w:p>
        </w:tc>
        <w:tc>
          <w:tcPr>
            <w:cnfStyle w:evenVBand="false" w:oddVBand="true" w:firstColumn="false"/>
            <w:tcW w:w="11.434303%" w:type="pct"/>
          </w:tcPr>
          <w:p>
            <w:pPr>
              <w:pStyle w:val="table-level-1"/>
              <w:ind w:leftChars="0" w:left="0" w:right="0"/>
              <w:keepNext/>
            </w:pPr>
            <w:r>
              <w:t>5.787</w:t>
            </w:r>
          </w:p>
        </w:tc>
        <w:tc>
          <w:tcPr>
            <w:cnfStyle w:evenVBand="true" w:oddVBand="false" w:firstColumn="false"/>
            <w:tcW w:w="11.434303%" w:type="pct"/>
          </w:tcPr>
          <w:p>
            <w:pPr>
              <w:pStyle w:val="table-level-1"/>
              <w:ind w:leftChars="0" w:left="0" w:right="0"/>
              <w:keepNext/>
            </w:pPr>
            <w:r>
              <w:t>4.416</w:t>
            </w:r>
          </w:p>
        </w:tc>
        <w:tc>
          <w:tcPr>
            <w:cnfStyle w:evenVBand="false" w:oddVBand="true" w:firstColumn="false"/>
            <w:tcW w:w="11.434303%" w:type="pct"/>
          </w:tcPr>
          <w:p>
            <w:pPr>
              <w:pStyle w:val="table-level-1"/>
              <w:ind w:leftChars="0" w:left="0" w:right="0"/>
              <w:keepNext/>
            </w:pPr>
            <w:r>
              <w:t>4.216</w:t>
            </w:r>
          </w:p>
        </w:tc>
        <w:tc>
          <w:tcPr>
            <w:cnfStyle w:evenVBand="true" w:oddVBand="false" w:firstColumn="false"/>
            <w:tcW w:w="11.434303%" w:type="pct"/>
          </w:tcPr>
          <w:p>
            <w:pPr>
              <w:pStyle w:val="table-level-1"/>
              <w:ind w:leftChars="0" w:left="0" w:right="0"/>
              <w:keepNext/>
            </w:pPr>
            <w:r>
              <w:t>3.541</w:t>
            </w:r>
          </w:p>
        </w:tc>
        <w:tc>
          <w:tcPr>
            <w:cnfStyle w:evenVBand="false" w:oddVBand="true" w:firstColumn="false"/>
            <w:tcW w:w="11.434303%" w:type="pct"/>
          </w:tcPr>
          <w:p>
            <w:pPr>
              <w:pStyle w:val="table-level-1"/>
              <w:ind w:leftChars="0" w:left="0" w:right="0"/>
              <w:keepNext/>
            </w:pPr>
            <w:r>
              <w:t>2.985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Terreni</w:t>
            </w:r>
          </w:p>
        </w:tc>
        <w:tc>
          <w:tcPr>
            <w:cnfStyle w:evenVBand="true" w:oddVBand="false" w:firstColumn="false"/>
            <w:tcW w:w="11.434303%" w:type="pct"/>
          </w:tcPr>
          <w:p>
            <w:pPr>
              <w:pStyle w:val="table-level-0"/>
              <w:ind w:leftChars="0" w:left="0" w:right="0"/>
              <w:keepNext/>
            </w:pPr>
            <w:r>
              <w:t>1.000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850</w:t>
            </w:r>
          </w:p>
        </w:tc>
        <w:tc>
          <w:tcPr>
            <w:cnfStyle w:evenVBand="false" w:oddVBand="true" w:firstColumn="false"/>
            <w:tcW w:w="11.434303%" w:type="pct"/>
          </w:tcPr>
          <w:p>
            <w:pPr>
              <w:pStyle w:val="table-level-0"/>
              <w:ind w:leftChars="0" w:left="0" w:right="0"/>
              <w:keepNext/>
            </w:pPr>
            <w:r>
              <w:t>850</w:t>
            </w:r>
          </w:p>
        </w:tc>
        <w:tc>
          <w:tcPr>
            <w:cnfStyle w:evenVBand="true" w:oddVBand="false" w:firstColumn="false"/>
            <w:tcW w:w="11.434303%" w:type="pct"/>
          </w:tcPr>
          <w:p>
            <w:pPr>
              <w:pStyle w:val="table-level-0"/>
              <w:ind w:leftChars="0" w:left="0" w:right="0"/>
              <w:keepNext/>
            </w:pPr>
            <w:r>
              <w:t>750</w:t>
            </w:r>
          </w:p>
        </w:tc>
        <w:tc>
          <w:tcPr>
            <w:cnfStyle w:evenVBand="false" w:oddVBand="true" w:firstColumn="false"/>
            <w:tcW w:w="11.434303%" w:type="pct"/>
          </w:tcPr>
          <w:p>
            <w:pPr>
              <w:pStyle w:val="table-level-0"/>
              <w:ind w:leftChars="0" w:left="0" w:right="0"/>
              <w:keepNext/>
            </w:pPr>
            <w:r>
              <w:t>650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Fabbricati</w:t>
            </w:r>
          </w:p>
        </w:tc>
        <w:tc>
          <w:tcPr>
            <w:cnfStyle w:evenVBand="true" w:oddVBand="false" w:firstColumn="false"/>
            <w:tcW w:w="11.434303%" w:type="pct"/>
          </w:tcPr>
          <w:p>
            <w:pPr>
              <w:pStyle w:val="table-level-0"/>
              <w:ind w:leftChars="0" w:left="0" w:right="0"/>
              <w:keepNext/>
            </w:pPr>
            <w:r>
              <w:t>1.960</w:t>
            </w:r>
          </w:p>
        </w:tc>
        <w:tc>
          <w:tcPr>
            <w:cnfStyle w:evenVBand="false" w:oddVBand="true" w:firstColumn="false"/>
            <w:tcW w:w="11.434303%" w:type="pct"/>
          </w:tcPr>
          <w:p>
            <w:pPr>
              <w:pStyle w:val="table-level-0"/>
              <w:ind w:leftChars="0" w:left="0" w:right="0"/>
              <w:keepNext/>
            </w:pPr>
            <w:r>
              <w:t>1.810</w:t>
            </w:r>
          </w:p>
        </w:tc>
        <w:tc>
          <w:tcPr>
            <w:cnfStyle w:evenVBand="true" w:oddVBand="false" w:firstColumn="false"/>
            <w:tcW w:w="11.434303%" w:type="pct"/>
          </w:tcPr>
          <w:p>
            <w:pPr>
              <w:pStyle w:val="table-level-0"/>
              <w:ind w:leftChars="0" w:left="0" w:right="0"/>
              <w:keepNext/>
            </w:pPr>
            <w:r>
              <w:t>1.200</w:t>
            </w:r>
          </w:p>
        </w:tc>
        <w:tc>
          <w:tcPr>
            <w:cnfStyle w:evenVBand="false" w:oddVBand="true" w:firstColumn="false"/>
            <w:tcW w:w="11.434303%" w:type="pct"/>
          </w:tcPr>
          <w:p>
            <w:pPr>
              <w:pStyle w:val="table-level-0"/>
              <w:ind w:leftChars="0" w:left="0" w:right="0"/>
              <w:keepNext/>
            </w:pPr>
            <w:r>
              <w:t>1.100</w:t>
            </w:r>
          </w:p>
        </w:tc>
        <w:tc>
          <w:tcPr>
            <w:cnfStyle w:evenVBand="true" w:oddVBand="false" w:firstColumn="false"/>
            <w:tcW w:w="11.434303%" w:type="pct"/>
          </w:tcPr>
          <w:p>
            <w:pPr>
              <w:pStyle w:val="table-level-0"/>
              <w:ind w:leftChars="0" w:left="0" w:right="0"/>
              <w:keepNext/>
            </w:pPr>
            <w:r>
              <w:t>1.000</w:t>
            </w:r>
          </w:p>
        </w:tc>
        <w:tc>
          <w:tcPr>
            <w:cnfStyle w:evenVBand="false" w:oddVBand="true" w:firstColumn="false"/>
            <w:tcW w:w="11.434303%" w:type="pct"/>
          </w:tcPr>
          <w:p>
            <w:pPr>
              <w:pStyle w:val="table-level-0"/>
              <w:ind w:leftChars="0" w:left="0" w:right="0"/>
              <w:keepNext/>
            </w:pPr>
            <w:r>
              <w:t>900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Impianti</w:t>
            </w:r>
          </w:p>
        </w:tc>
        <w:tc>
          <w:tcPr>
            <w:cnfStyle w:evenVBand="true" w:oddVBand="false" w:firstColumn="false"/>
            <w:tcW w:w="11.434303%" w:type="pct"/>
          </w:tcPr>
          <w:p>
            <w:pPr>
              <w:pStyle w:val="table-level-0"/>
              <w:ind w:leftChars="0" w:left="0" w:right="0"/>
              <w:keepNext/>
            </w:pPr>
            <w:r>
              <w:t>2.350</w:t>
            </w:r>
          </w:p>
        </w:tc>
        <w:tc>
          <w:tcPr>
            <w:cnfStyle w:evenVBand="false" w:oddVBand="true" w:firstColumn="false"/>
            <w:tcW w:w="11.434303%" w:type="pct"/>
          </w:tcPr>
          <w:p>
            <w:pPr>
              <w:pStyle w:val="table-level-0"/>
              <w:ind w:leftChars="0" w:left="0" w:right="0"/>
              <w:keepNext/>
            </w:pPr>
            <w:r>
              <w:t>1.650</w:t>
            </w:r>
          </w:p>
        </w:tc>
        <w:tc>
          <w:tcPr>
            <w:cnfStyle w:evenVBand="true" w:oddVBand="false" w:firstColumn="false"/>
            <w:tcW w:w="11.434303%" w:type="pct"/>
          </w:tcPr>
          <w:p>
            <w:pPr>
              <w:pStyle w:val="table-level-0"/>
              <w:ind w:leftChars="0" w:left="0" w:right="0"/>
              <w:keepNext/>
            </w:pPr>
            <w:r>
              <w:t>1.250</w:t>
            </w:r>
          </w:p>
        </w:tc>
        <w:tc>
          <w:tcPr>
            <w:cnfStyle w:evenVBand="false" w:oddVBand="true" w:firstColumn="false"/>
            <w:tcW w:w="11.434303%" w:type="pct"/>
          </w:tcPr>
          <w:p>
            <w:pPr>
              <w:pStyle w:val="table-level-0"/>
              <w:ind w:leftChars="0" w:left="0" w:right="0"/>
              <w:keepNext/>
            </w:pPr>
            <w:r>
              <w:t>1.250</w:t>
            </w:r>
          </w:p>
        </w:tc>
        <w:tc>
          <w:tcPr>
            <w:cnfStyle w:evenVBand="true" w:oddVBand="false" w:firstColumn="false"/>
            <w:tcW w:w="11.434303%" w:type="pct"/>
          </w:tcPr>
          <w:p>
            <w:pPr>
              <w:pStyle w:val="table-level-0"/>
              <w:ind w:leftChars="0" w:left="0" w:right="0"/>
              <w:keepNext/>
            </w:pPr>
            <w:r>
              <w:t>1.150</w:t>
            </w:r>
          </w:p>
        </w:tc>
        <w:tc>
          <w:tcPr>
            <w:cnfStyle w:evenVBand="false" w:oddVBand="true" w:firstColumn="false"/>
            <w:tcW w:w="11.434303%" w:type="pct"/>
          </w:tcPr>
          <w:p>
            <w:pPr>
              <w:pStyle w:val="table-level-0"/>
              <w:ind w:leftChars="0" w:left="0" w:right="0"/>
              <w:keepNext/>
            </w:pPr>
            <w:r>
              <w:t>1.050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Macchinari</w:t>
            </w:r>
          </w:p>
        </w:tc>
        <w:tc>
          <w:tcPr>
            <w:cnfStyle w:evenVBand="true" w:oddVBand="false" w:firstColumn="false"/>
            <w:tcW w:w="11.434303%" w:type="pct"/>
          </w:tcPr>
          <w:p>
            <w:pPr>
              <w:pStyle w:val="table-level-0"/>
              <w:ind w:leftChars="0" w:left="0" w:right="0"/>
              <w:keepNext/>
            </w:pPr>
            <w:r>
              <w:t>2.000</w:t>
            </w:r>
          </w:p>
        </w:tc>
        <w:tc>
          <w:tcPr>
            <w:cnfStyle w:evenVBand="false" w:oddVBand="true" w:firstColumn="false"/>
            <w:tcW w:w="11.434303%" w:type="pct"/>
          </w:tcPr>
          <w:p>
            <w:pPr>
              <w:pStyle w:val="table-level-0"/>
              <w:ind w:leftChars="0" w:left="0" w:right="0"/>
              <w:keepNext/>
            </w:pPr>
            <w:r>
              <w:t>1.600</w:t>
            </w:r>
          </w:p>
        </w:tc>
        <w:tc>
          <w:tcPr>
            <w:cnfStyle w:evenVBand="true" w:oddVBand="false" w:firstColumn="false"/>
            <w:tcW w:w="11.434303%" w:type="pct"/>
          </w:tcPr>
          <w:p>
            <w:pPr>
              <w:pStyle w:val="table-level-0"/>
              <w:ind w:leftChars="0" w:left="0" w:right="0"/>
              <w:keepNext/>
            </w:pPr>
            <w:r>
              <w:t>1.200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900</w:t>
            </w:r>
          </w:p>
        </w:tc>
        <w:tc>
          <w:tcPr>
            <w:cnfStyle w:evenVBand="false" w:oddVBand="true" w:firstColumn="false"/>
            <w:tcW w:w="11.434303%" w:type="pct"/>
          </w:tcPr>
          <w:p>
            <w:pPr>
              <w:pStyle w:val="table-level-0"/>
              <w:ind w:leftChars="0" w:left="0" w:right="0"/>
              <w:keepNext/>
            </w:pPr>
            <w:r>
              <w:t>800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Attrezzature</w:t>
            </w:r>
          </w:p>
        </w:tc>
        <w:tc>
          <w:tcPr>
            <w:cnfStyle w:evenVBand="true" w:oddVBand="false" w:firstColumn="false"/>
            <w:tcW w:w="11.434303%" w:type="pct"/>
          </w:tcPr>
          <w:p>
            <w:pPr>
              <w:pStyle w:val="table-level-0"/>
              <w:ind w:leftChars="0" w:left="0" w:right="0"/>
              <w:keepNext/>
            </w:pPr>
            <w:r>
              <w:t>650</w:t>
            </w:r>
          </w:p>
        </w:tc>
        <w:tc>
          <w:tcPr>
            <w:cnfStyle w:evenVBand="false" w:oddVBand="true" w:firstColumn="false"/>
            <w:tcW w:w="11.434303%" w:type="pct"/>
          </w:tcPr>
          <w:p>
            <w:pPr>
              <w:pStyle w:val="table-level-0"/>
              <w:ind w:leftChars="0" w:left="0" w:right="0"/>
              <w:keepNext/>
            </w:pPr>
            <w:r>
              <w:t>570</w:t>
            </w:r>
          </w:p>
        </w:tc>
        <w:tc>
          <w:tcPr>
            <w:cnfStyle w:evenVBand="true" w:oddVBand="false" w:firstColumn="false"/>
            <w:tcW w:w="11.434303%" w:type="pct"/>
          </w:tcPr>
          <w:p>
            <w:pPr>
              <w:pStyle w:val="table-level-0"/>
              <w:ind w:leftChars="0" w:left="0" w:right="0"/>
              <w:keepNext/>
            </w:pPr>
            <w:r>
              <w:t>470</w:t>
            </w:r>
          </w:p>
        </w:tc>
        <w:tc>
          <w:tcPr>
            <w:cnfStyle w:evenVBand="false" w:oddVBand="true" w:firstColumn="false"/>
            <w:tcW w:w="11.434303%" w:type="pct"/>
          </w:tcPr>
          <w:p>
            <w:pPr>
              <w:pStyle w:val="table-level-0"/>
              <w:ind w:leftChars="0" w:left="0" w:right="0"/>
              <w:keepNext/>
            </w:pPr>
            <w:r>
              <w:t>330</w:t>
            </w:r>
          </w:p>
        </w:tc>
        <w:tc>
          <w:tcPr>
            <w:cnfStyle w:evenVBand="true" w:oddVBand="false" w:firstColumn="false"/>
            <w:tcW w:w="11.434303%" w:type="pct"/>
          </w:tcPr>
          <w:p>
            <w:pPr>
              <w:pStyle w:val="table-level-0"/>
              <w:ind w:leftChars="0" w:left="0" w:right="0"/>
              <w:keepNext/>
            </w:pPr>
            <w:r>
              <w:t>230</w:t>
            </w:r>
          </w:p>
        </w:tc>
        <w:tc>
          <w:tcPr>
            <w:cnfStyle w:evenVBand="false" w:oddVBand="true" w:firstColumn="false"/>
            <w:tcW w:w="11.434303%" w:type="pct"/>
          </w:tcPr>
          <w:p>
            <w:pPr>
              <w:pStyle w:val="table-level-0"/>
              <w:ind w:leftChars="0" w:left="0" w:right="0"/>
              <w:keepNext/>
            </w:pPr>
            <w:r>
              <w:t>130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Mobili e arredi</w:t>
            </w:r>
          </w:p>
        </w:tc>
        <w:tc>
          <w:tcPr>
            <w:cnfStyle w:evenVBand="true" w:oddVBand="false" w:firstColumn="false"/>
            <w:tcW w:w="11.434303%" w:type="pct"/>
          </w:tcPr>
          <w:p>
            <w:pPr>
              <w:pStyle w:val="table-level-0"/>
              <w:ind w:leftChars="0" w:left="0" w:right="0"/>
              <w:keepNext/>
            </w:pPr>
            <w:r>
              <w:t>320</w:t>
            </w:r>
          </w:p>
        </w:tc>
        <w:tc>
          <w:tcPr>
            <w:cnfStyle w:evenVBand="false" w:oddVBand="true" w:firstColumn="false"/>
            <w:tcW w:w="11.434303%" w:type="pct"/>
          </w:tcPr>
          <w:p>
            <w:pPr>
              <w:pStyle w:val="table-level-0"/>
              <w:ind w:leftChars="0" w:left="0" w:right="0"/>
              <w:keepNext/>
            </w:pPr>
            <w:r>
              <w:t>320</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300</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Macchine d’ufficio</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450</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450</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250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Automezzi</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75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beni strumentali materiali</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Immobilizzazioni mat. in corso</w:t>
            </w:r>
          </w:p>
        </w:tc>
        <w:tc>
          <w:tcPr>
            <w:cnfStyle w:evenVBand="true" w:oddVBand="false" w:firstColumn="false"/>
            <w:tcW w:w="11.434303%" w:type="pct"/>
          </w:tcPr>
          <w:p>
            <w:pPr>
              <w:pStyle w:val="table-level-0"/>
              <w:ind w:leftChars="0" w:left="0" w:right="0"/>
              <w:keepNext/>
            </w:pPr>
            <w:r>
              <w:t>6,42</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Fondi ammortamento</w:t>
            </w:r>
          </w:p>
        </w:tc>
        <w:tc>
          <w:tcPr>
            <w:cnfStyle w:evenVBand="true" w:oddVBand="false" w:firstColumn="false"/>
            <w:tcW w:w="11.434303%" w:type="pct"/>
          </w:tcPr>
          <w:p>
            <w:pPr>
              <w:pStyle w:val="table-level-100"/>
              <w:ind w:leftChars="0" w:left="0" w:right="0"/>
              <w:keepNext/>
            </w:pPr>
            <w:r>
              <w:t>-2.331</w:t>
            </w:r>
          </w:p>
        </w:tc>
        <w:tc>
          <w:tcPr>
            <w:cnfStyle w:evenVBand="false" w:oddVBand="true" w:firstColumn="false"/>
            <w:tcW w:w="11.434303%" w:type="pct"/>
          </w:tcPr>
          <w:p>
            <w:pPr>
              <w:pStyle w:val="table-level-100"/>
              <w:ind w:leftChars="0" w:left="0" w:right="0"/>
              <w:keepNext/>
            </w:pPr>
            <w:r>
              <w:t>-1.968</w:t>
            </w:r>
          </w:p>
        </w:tc>
        <w:tc>
          <w:tcPr>
            <w:cnfStyle w:evenVBand="true" w:oddVBand="false" w:firstColumn="false"/>
            <w:tcW w:w="11.434303%" w:type="pct"/>
          </w:tcPr>
          <w:p>
            <w:pPr>
              <w:pStyle w:val="table-level-100"/>
              <w:ind w:leftChars="0" w:left="0" w:right="0"/>
              <w:keepNext/>
            </w:pPr>
            <w:r>
              <w:t>-1.657</w:t>
            </w:r>
          </w:p>
        </w:tc>
        <w:tc>
          <w:tcPr>
            <w:cnfStyle w:evenVBand="false" w:oddVBand="true" w:firstColumn="false"/>
            <w:tcW w:w="11.434303%" w:type="pct"/>
          </w:tcPr>
          <w:p>
            <w:pPr>
              <w:pStyle w:val="table-level-100"/>
              <w:ind w:leftChars="0" w:left="0" w:right="0"/>
              <w:keepNext/>
            </w:pPr>
            <w:r>
              <w:t>-1.414</w:t>
            </w:r>
          </w:p>
        </w:tc>
        <w:tc>
          <w:tcPr>
            <w:cnfStyle w:evenVBand="true" w:oddVBand="false" w:firstColumn="false"/>
            <w:tcW w:w="11.434303%" w:type="pct"/>
          </w:tcPr>
          <w:p>
            <w:pPr>
              <w:pStyle w:val="table-level-100"/>
              <w:ind w:leftChars="0" w:left="0" w:right="0"/>
              <w:keepNext/>
            </w:pPr>
            <w:r>
              <w:t>-1.189</w:t>
            </w:r>
          </w:p>
        </w:tc>
        <w:tc>
          <w:tcPr>
            <w:cnfStyle w:evenVBand="false" w:oddVBand="true" w:firstColumn="false"/>
            <w:tcW w:w="11.434303%" w:type="pct"/>
          </w:tcPr>
          <w:p>
            <w:pPr>
              <w:pStyle w:val="table-level-100"/>
              <w:ind w:leftChars="0" w:left="0" w:right="0"/>
              <w:keepNext/>
            </w:pPr>
            <w:r>
              <w:t>-1.000</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-3,5</w:t>
            </w:r>
          </w:p>
        </w:tc>
        <w:tc>
          <w:tcPr>
            <w:cnfStyle w:evenVBand="false" w:oddVBand="true" w:firstColumn="false"/>
            <w:tcW w:w="11.434303%" w:type="pct"/>
          </w:tcPr>
          <w:p>
            <w:pPr>
              <w:pStyle w:val="table-level-100"/>
              <w:ind w:leftChars="0" w:left="0" w:right="0"/>
              <w:keepNext/>
            </w:pPr>
            <w:r>
              <w:t>-1,5</w:t>
            </w:r>
          </w:p>
        </w:tc>
        <w:tc>
          <w:tcPr>
            <w:cnfStyle w:evenVBand="true" w:oddVBand="false" w:firstColumn="false"/>
            <w:tcW w:w="11.434303%" w:type="pct"/>
          </w:tcPr>
          <w:p>
            <w:pPr>
              <w:pStyle w:val="table-level-100"/>
              <w:ind w:leftChars="0" w:left="0" w:right="0"/>
              <w:keepNext/>
            </w:pPr>
            <w:r>
              <w:t>-1,5</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r>
    </w:tbl>
    <w:p>
      <w:pPr>
        <w:pStyle w:val="TableBottomMargin"/>
      </w:pPr>
    </w:p>
    <w:p>
      <w:pPr>
        <w:pStyle w:val="BodyText"/>
        <w:ind w:leftChars="0" w:left="0" w:right="0"/>
      </w:pPr>
      <w:r>
        <w:t xml:space="preserve">Dal prospetto si evince che al 31 dicembre 2022 il valore della voce </w:t>
      </w:r>
      <w:r>
        <w:rPr>
          <w:i/>
          <w:iCs/>
        </w:rPr>
        <w:t>Immobilizzazioni materiali</w:t>
      </w:r>
      <w:r>
        <w:t xml:space="preserve"> è pari a € 6.751.823 ed è in crescita del 17% rispetto al 31 dicembre 2021.</w:t>
      </w:r>
    </w:p>
    <w:p>
      <w:pPr>
        <w:pStyle w:val="BodyText"/>
        <w:ind w:leftChars="0" w:left="0" w:right="0"/>
      </w:pPr>
      <w:r>
        <w:t xml:space="preserve">Il grafico seguente mostra l’analisi dell’andamento della voce </w:t>
      </w:r>
      <w:r>
        <w:rPr>
          <w:i/>
          <w:iCs/>
        </w:rPr>
        <w:t>Immobilizzazioni materiali</w:t>
      </w:r>
      <w:r>
        <w:t xml:space="preserve"> dal 31 dicembre 2017 al 31 dicembre 2022. Tale valore risulta in crescita del 126%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6" name="f3e5e66b79c50342fb4136edbf571322.png" descr="_static/temp/f3e5e66b79c50342fb4136edbf57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3e5e66b79c50342fb4136edbf571322.png" descr="_static/temp/f3e5e66b79c50342fb4136edbf571322.png"/>
                    <pic:cNvPicPr>
                      <a:picLocks noChangeAspect="1" noChangeArrowheads="1"/>
                    </pic:cNvPicPr>
                  </pic:nvPicPr>
                  <pic:blipFill>
                    <a:blip xmlns:r="http://schemas.openxmlformats.org/officeDocument/2006/relationships" r:embed="rId5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Immobilizzazioni materiali</w:t>
      </w:r>
      <w:r>
        <w:t xml:space="preserve"> al 31 dicembre 2022, la componente più significativa è rappresentata dalla voce </w:t>
      </w:r>
      <w:r>
        <w:rPr>
          <w:i/>
          <w:iCs/>
        </w:rPr>
        <w:t>Impianti</w:t>
      </w:r>
      <w:r>
        <w:t xml:space="preserve"> con un valore pari a 2.350.000 €. Il grafico seguente visualizza la ripartizione di tutte le componenti della voce </w:t>
      </w:r>
      <w:r>
        <w:rPr>
          <w:i/>
          <w:iCs/>
        </w:rPr>
        <w:t>Immobilizzazioni materiali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7" name="cf1b9c849438614e46265130b4767d28.png" descr="_static/temp/cf1b9c849438614e46265130b4767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f1b9c849438614e46265130b4767d28.png" descr="_static/temp/cf1b9c849438614e46265130b4767d28.png"/>
                    <pic:cNvPicPr>
                      <a:picLocks noChangeAspect="1" noChangeArrowheads="1"/>
                    </pic:cNvPicPr>
                  </pic:nvPicPr>
                  <pic:blipFill>
                    <a:blip xmlns:r="http://schemas.openxmlformats.org/officeDocument/2006/relationships" r:embed="rId60"/>
                    <a:srcRect/>
                    <a:stretch>
                      <a:fillRect/>
                    </a:stretch>
                  </pic:blipFill>
                  <pic:spPr bwMode="auto">
                    <a:xfrm>
                      <a:off x="0" y="0"/>
                      <a:ext cx="6476365" cy="3266766"/>
                    </a:xfrm>
                    <a:prstGeom prst="rect">
                      <a:avLst/>
                    </a:prstGeom>
                    <a:noFill/>
                  </pic:spPr>
                </pic:pic>
              </a:graphicData>
            </a:graphic>
          </wp:inline>
        </w:drawing>
      </w:r>
    </w:p>
    <w:bookmarkEnd w:id="513"/>
    <w:bookmarkEnd w:id="514"/>
    <w:bookmarkStart w:id="515" w:name="_e65392467922829b84af16f8992f6237"/>
    <w:bookmarkStart w:id="516" w:name="_89c6fc2f8c7e819475834f5f947b1a56"/>
    <w:p>
      <w:pPr>
        <w:pStyle w:val="Heading4"/>
        <w:keepNext/>
      </w:pPr>
      <w:r>
        <w:t>Immobilizzazioni finanziarie</w:t>
      </w:r>
    </w:p>
    <w:p>
      <w:pPr>
        <w:pStyle w:val="BodyText"/>
        <w:ind w:leftChars="0" w:left="0" w:right="0"/>
      </w:pPr>
      <w:r>
        <w:t>La presente sottosezione dell'</w:t>
      </w:r>
      <w:hyperlink w:anchor="_1614ca74203022fc214f210368e7f8a7">
        <w:r>
          <w:rPr>
            <w:rStyle w:val="Hyperlink"/>
          </w:rPr>
          <w:t>Attivo fisso netto</w:t>
        </w:r>
      </w:hyperlink>
      <w:r>
        <w:t xml:space="preserve"> è dedicata alle immobilizzazioni finanziarie. Queste rappresentano titoli, partecipazioni e crediti detenuti a titolo di investimento durevole e non a fine speculativo.</w:t>
      </w:r>
    </w:p>
    <w:p>
      <w:pPr>
        <w:pStyle w:val="BodyText"/>
        <w:ind w:leftChars="0" w:left="0" w:right="0"/>
      </w:pPr>
      <w:r>
        <w:t xml:space="preserve">Il prospetto seguente illustra il dettaglio analitico della voce </w:t>
      </w:r>
      <w:r>
        <w:rPr>
          <w:i/>
          <w:iCs/>
        </w:rPr>
        <w:t>Immobilizzazioni finanziarie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9c6fc2f8c7e819475834f5f947b1a56">
              <w:r>
                <w:rPr>
                  <w:rStyle w:val="Hyperlink"/>
                </w:rPr>
                <w:t>Immobilizzazioni finanziarie</w:t>
              </w:r>
            </w:hyperlink>
          </w:p>
        </w:tc>
        <w:tc>
          <w:tcPr>
            <w:cnfStyle w:evenVBand="true" w:oddVBand="false" w:firstColumn="false"/>
            <w:tcW w:w="11.434303%" w:type="pct"/>
          </w:tcPr>
          <w:p>
            <w:pPr>
              <w:pStyle w:val="table-level-1"/>
              <w:ind w:leftChars="0" w:left="0" w:right="0"/>
              <w:keepNext/>
            </w:pPr>
            <w:r>
              <w:t>51</w:t>
            </w:r>
          </w:p>
        </w:tc>
        <w:tc>
          <w:tcPr>
            <w:cnfStyle w:evenVBand="false" w:oddVBand="true" w:firstColumn="false"/>
            <w:tcW w:w="11.434303%" w:type="pct"/>
          </w:tcPr>
          <w:p>
            <w:pPr>
              <w:pStyle w:val="table-level-1"/>
              <w:ind w:leftChars="0" w:left="0" w:right="0"/>
              <w:keepNext/>
            </w:pPr>
            <w:r>
              <w:t>40</w:t>
            </w:r>
          </w:p>
        </w:tc>
        <w:tc>
          <w:tcPr>
            <w:cnfStyle w:evenVBand="true" w:oddVBand="false" w:firstColumn="false"/>
            <w:tcW w:w="11.434303%" w:type="pct"/>
          </w:tcPr>
          <w:p>
            <w:pPr>
              <w:pStyle w:val="table-level-1"/>
              <w:ind w:leftChars="0" w:left="0" w:right="0"/>
              <w:keepNext/>
            </w:pPr>
            <w:r>
              <w:t>41</w:t>
            </w:r>
          </w:p>
        </w:tc>
        <w:tc>
          <w:tcPr>
            <w:cnfStyle w:evenVBand="false" w:oddVBand="true" w:firstColumn="false"/>
            <w:tcW w:w="11.434303%" w:type="pct"/>
          </w:tcPr>
          <w:p>
            <w:pPr>
              <w:pStyle w:val="table-level-1"/>
              <w:ind w:leftChars="0" w:left="0" w:right="0"/>
              <w:keepNext/>
            </w:pPr>
            <w:r>
              <w:t>43</w:t>
            </w:r>
          </w:p>
        </w:tc>
        <w:tc>
          <w:tcPr>
            <w:cnfStyle w:evenVBand="true" w:oddVBand="false" w:firstColumn="false"/>
            <w:tcW w:w="11.434303%" w:type="pct"/>
          </w:tcPr>
          <w:p>
            <w:pPr>
              <w:pStyle w:val="table-level-1"/>
              <w:ind w:leftChars="0" w:left="0" w:right="0"/>
              <w:keepNext/>
            </w:pPr>
            <w:r>
              <w:t>40,9</w:t>
            </w:r>
          </w:p>
        </w:tc>
        <w:tc>
          <w:tcPr>
            <w:cnfStyle w:evenVBand="false" w:oddVBand="true" w:firstColumn="false"/>
            <w:tcW w:w="11.434303%" w:type="pct"/>
          </w:tcPr>
          <w:p>
            <w:pPr>
              <w:pStyle w:val="table-level-1"/>
              <w:ind w:leftChars="0" w:left="0" w:right="0"/>
              <w:keepNext/>
            </w:pPr>
            <w:r>
              <w:t>38,6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Partecipazioni</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24,5</w:t>
            </w:r>
          </w:p>
        </w:tc>
        <w:tc>
          <w:tcPr>
            <w:cnfStyle w:evenVBand="false" w:oddVBand="true" w:firstColumn="false"/>
            <w:tcW w:w="11.434303%" w:type="pct"/>
          </w:tcPr>
          <w:p>
            <w:pPr>
              <w:pStyle w:val="table-level-0"/>
              <w:ind w:leftChars="0" w:left="0" w:right="0"/>
              <w:keepNext/>
            </w:pPr>
            <w:r>
              <w:t>24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Crediti finanziari</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11,5</w:t>
            </w:r>
          </w:p>
        </w:tc>
        <w:tc>
          <w:tcPr>
            <w:cnfStyle w:evenVBand="false" w:oddVBand="true" w:firstColumn="false"/>
            <w:tcW w:w="11.434303%" w:type="pct"/>
          </w:tcPr>
          <w:p>
            <w:pPr>
              <w:pStyle w:val="table-level-0"/>
              <w:ind w:leftChars="0" w:left="0" w:right="0"/>
              <w:keepNext/>
            </w:pPr>
            <w:r>
              <w:t>11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Depositi e altri crediti finanziari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titoli finanziari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3</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Azioni proprie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Strumenti derivati attivi</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0,4</w:t>
            </w:r>
          </w:p>
        </w:tc>
        <w:tc>
          <w:tcPr>
            <w:cnfStyle w:evenVBand="false" w:oddVBand="true" w:firstColumn="false"/>
            <w:tcW w:w="11.434303%" w:type="pct"/>
          </w:tcPr>
          <w:p>
            <w:pPr>
              <w:pStyle w:val="table-level-0"/>
              <w:ind w:leftChars="0" w:left="0" w:right="0"/>
              <w:keepNext/>
            </w:pPr>
            <w:r>
              <w:t>0,5</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-1,5</w:t>
            </w:r>
          </w:p>
        </w:tc>
        <w:tc>
          <w:tcPr>
            <w:cnfStyle w:evenVBand="false" w:oddVBand="true" w:firstColumn="false"/>
            <w:tcW w:w="11.434303%" w:type="pct"/>
          </w:tcPr>
          <w:p>
            <w:pPr>
              <w:pStyle w:val="table-level-100"/>
              <w:ind w:leftChars="0" w:left="0" w:right="0"/>
              <w:keepNext/>
            </w:pPr>
            <w:r>
              <w:t>-1,7</w:t>
            </w:r>
          </w:p>
        </w:tc>
      </w:tr>
    </w:tbl>
    <w:p>
      <w:pPr>
        <w:pStyle w:val="TableBottomMargin"/>
      </w:pPr>
    </w:p>
    <w:p>
      <w:pPr>
        <w:pStyle w:val="BodyText"/>
        <w:ind w:leftChars="0" w:left="0" w:right="0"/>
      </w:pPr>
      <w:r>
        <w:t xml:space="preserve">Dal prospetto si evince che al 31 dicembre 2022 il valore della voce </w:t>
      </w:r>
      <w:r>
        <w:rPr>
          <w:i/>
          <w:iCs/>
        </w:rPr>
        <w:t>Immobilizzazioni finanziarie</w:t>
      </w:r>
      <w:r>
        <w:t xml:space="preserve"> è pari a € 51.000 ed è in crescita del 28% rispetto al 31 dicembre 2021.</w:t>
      </w:r>
    </w:p>
    <w:p>
      <w:pPr>
        <w:pStyle w:val="BodyText"/>
        <w:ind w:leftChars="0" w:left="0" w:right="0"/>
      </w:pPr>
      <w:r>
        <w:t xml:space="preserve">Il grafico seguente mostra l’analisi dell’andamento della voce </w:t>
      </w:r>
      <w:r>
        <w:rPr>
          <w:i/>
          <w:iCs/>
        </w:rPr>
        <w:t>Immobilizzazioni finanziarie</w:t>
      </w:r>
      <w:r>
        <w:t xml:space="preserve"> dal 31 dicembre 2017 al 31 dicembre 2022. Tale valore risulta in crescita del 32%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8" name="5d6193dd63dae2e55e28f3f31b3533db.png" descr="_static/temp/5d6193dd63dae2e55e28f3f31b353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5d6193dd63dae2e55e28f3f31b3533db.png" descr="_static/temp/5d6193dd63dae2e55e28f3f31b3533db.png"/>
                    <pic:cNvPicPr>
                      <a:picLocks noChangeAspect="1" noChangeArrowheads="1"/>
                    </pic:cNvPicPr>
                  </pic:nvPicPr>
                  <pic:blipFill>
                    <a:blip xmlns:r="http://schemas.openxmlformats.org/officeDocument/2006/relationships" r:embed="rId6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Immobilizzazioni finanziarie</w:t>
      </w:r>
      <w:r>
        <w:t xml:space="preserve"> al 31 dicembre 2022, la componente più significativa è rappresentata dalla voce </w:t>
      </w:r>
      <w:r>
        <w:rPr>
          <w:i/>
          <w:iCs/>
        </w:rPr>
        <w:t>Partecipazioni</w:t>
      </w:r>
      <w:r>
        <w:t xml:space="preserve"> con un valore pari a 35.000 €. Il grafico seguente visualizza la ripartizione di tutte le componenti della voce </w:t>
      </w:r>
      <w:r>
        <w:rPr>
          <w:i/>
          <w:iCs/>
        </w:rPr>
        <w:t>Immobilizzazioni finanziarie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39" name="1638e580e8d6013ef1f02ec0e9d403e1.png" descr="_static/temp/1638e580e8d6013ef1f02ec0e9d403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638e580e8d6013ef1f02ec0e9d403e1.png" descr="_static/temp/1638e580e8d6013ef1f02ec0e9d403e1.png"/>
                    <pic:cNvPicPr>
                      <a:picLocks noChangeAspect="1" noChangeArrowheads="1"/>
                    </pic:cNvPicPr>
                  </pic:nvPicPr>
                  <pic:blipFill>
                    <a:blip xmlns:r="http://schemas.openxmlformats.org/officeDocument/2006/relationships" r:embed="rId62"/>
                    <a:srcRect/>
                    <a:stretch>
                      <a:fillRect/>
                    </a:stretch>
                  </pic:blipFill>
                  <pic:spPr bwMode="auto">
                    <a:xfrm>
                      <a:off x="0" y="0"/>
                      <a:ext cx="6476365" cy="3266766"/>
                    </a:xfrm>
                    <a:prstGeom prst="rect">
                      <a:avLst/>
                    </a:prstGeom>
                    <a:noFill/>
                  </pic:spPr>
                </pic:pic>
              </a:graphicData>
            </a:graphic>
          </wp:inline>
        </w:drawing>
      </w:r>
    </w:p>
    <w:bookmarkEnd w:id="515"/>
    <w:bookmarkEnd w:id="516"/>
    <w:bookmarkStart w:id="517" w:name="_958e61f8ce800f00b092635bf8a60f4e"/>
    <w:bookmarkStart w:id="518" w:name="_fd5ad78356e83131ad5f2c736967845e"/>
    <w:p>
      <w:pPr>
        <w:pStyle w:val="Heading4"/>
        <w:keepNext/>
      </w:pPr>
      <w:r>
        <w:t>Fondi rischi e oneri e Fondo TFR</w:t>
      </w:r>
    </w:p>
    <w:p>
      <w:pPr>
        <w:pStyle w:val="BodyText"/>
        <w:ind w:leftChars="0" w:left="0" w:right="0"/>
      </w:pPr>
      <w:r>
        <w:t>La presente sottosezione dell'</w:t>
      </w:r>
      <w:hyperlink w:anchor="_1614ca74203022fc214f210368e7f8a7">
        <w:r>
          <w:rPr>
            <w:rStyle w:val="Hyperlink"/>
          </w:rPr>
          <w:t>Attivo fisso netto</w:t>
        </w:r>
      </w:hyperlink>
      <w:r>
        <w:t xml:space="preserve"> è dedicata ai fondi rischi e oneri e al fondo TFR. Questi rappresentano passività (costi o perdite) di esistenza certa, il cui importo da pagare e la cui manifestazione sono però indeterminati.</w:t>
      </w:r>
    </w:p>
    <w:p>
      <w:pPr>
        <w:pStyle w:val="BodyText"/>
        <w:ind w:leftChars="0" w:left="0" w:right="0"/>
      </w:pPr>
      <w:r>
        <w:t xml:space="preserve">Il prospetto seguente illustra il dettaglio analitico della voce </w:t>
      </w:r>
      <w:r>
        <w:rPr>
          <w:i/>
          <w:iCs/>
        </w:rPr>
        <w:t>Fondi rischi e oneri e Fondo TFR</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fd5ad78356e83131ad5f2c736967845e">
              <w:r>
                <w:rPr>
                  <w:rStyle w:val="Hyperlink"/>
                </w:rPr>
                <w:t>Fondi</w:t>
              </w:r>
            </w:hyperlink>
          </w:p>
        </w:tc>
        <w:tc>
          <w:tcPr>
            <w:cnfStyle w:evenVBand="true" w:oddVBand="false" w:firstColumn="false"/>
            <w:tcW w:w="11.434303%" w:type="pct"/>
          </w:tcPr>
          <w:p>
            <w:pPr>
              <w:pStyle w:val="table-level-1"/>
              <w:ind w:leftChars="0" w:left="0" w:right="0"/>
              <w:keepNext/>
            </w:pPr>
            <w:r>
              <w:t>-440</w:t>
            </w:r>
          </w:p>
        </w:tc>
        <w:tc>
          <w:tcPr>
            <w:cnfStyle w:evenVBand="false" w:oddVBand="true" w:firstColumn="false"/>
            <w:tcW w:w="11.434303%" w:type="pct"/>
          </w:tcPr>
          <w:p>
            <w:pPr>
              <w:pStyle w:val="table-level-1"/>
              <w:ind w:leftChars="0" w:left="0" w:right="0"/>
              <w:keepNext/>
            </w:pPr>
            <w:r>
              <w:t>-322,5</w:t>
            </w:r>
          </w:p>
        </w:tc>
        <w:tc>
          <w:tcPr>
            <w:cnfStyle w:evenVBand="true" w:oddVBand="false" w:firstColumn="false"/>
            <w:tcW w:w="11.434303%" w:type="pct"/>
          </w:tcPr>
          <w:p>
            <w:pPr>
              <w:pStyle w:val="table-level-1"/>
              <w:ind w:leftChars="0" w:left="0" w:right="0"/>
              <w:keepNext/>
            </w:pPr>
            <w:r>
              <w:t>-228</w:t>
            </w:r>
          </w:p>
        </w:tc>
        <w:tc>
          <w:tcPr>
            <w:cnfStyle w:evenVBand="false" w:oddVBand="true" w:firstColumn="false"/>
            <w:tcW w:w="11.434303%" w:type="pct"/>
          </w:tcPr>
          <w:p>
            <w:pPr>
              <w:pStyle w:val="table-level-1"/>
              <w:ind w:leftChars="0" w:left="0" w:right="0"/>
              <w:keepNext/>
            </w:pPr>
            <w:r>
              <w:t>-127,6</w:t>
            </w:r>
          </w:p>
        </w:tc>
        <w:tc>
          <w:tcPr>
            <w:cnfStyle w:evenVBand="true" w:oddVBand="false" w:firstColumn="false"/>
            <w:tcW w:w="11.434303%" w:type="pct"/>
          </w:tcPr>
          <w:p>
            <w:pPr>
              <w:pStyle w:val="table-level-1"/>
              <w:ind w:leftChars="0" w:left="0" w:right="0"/>
              <w:keepNext/>
            </w:pPr>
            <w:r>
              <w:t>-103</w:t>
            </w:r>
          </w:p>
        </w:tc>
        <w:tc>
          <w:tcPr>
            <w:cnfStyle w:evenVBand="false" w:oddVBand="true" w:firstColumn="false"/>
            <w:tcW w:w="11.434303%" w:type="pct"/>
          </w:tcPr>
          <w:p>
            <w:pPr>
              <w:pStyle w:val="table-level-1"/>
              <w:ind w:leftChars="0" w:left="0" w:right="0"/>
              <w:keepNext/>
            </w:pPr>
            <w:r>
              <w:t>-110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Fondo tratt. quiescenza</w:t>
            </w:r>
          </w:p>
        </w:tc>
        <w:tc>
          <w:tcPr>
            <w:cnfStyle w:evenVBand="true" w:oddVBand="false" w:firstColumn="false"/>
            <w:tcW w:w="11.434303%" w:type="pct"/>
          </w:tcPr>
          <w:p>
            <w:pPr>
              <w:pStyle w:val="table-level-0"/>
              <w:ind w:leftChars="0" w:left="0" w:right="0"/>
              <w:keepNext/>
            </w:pPr>
            <w:r>
              <w:t>-415</w:t>
            </w:r>
          </w:p>
        </w:tc>
        <w:tc>
          <w:tcPr>
            <w:cnfStyle w:evenVBand="false" w:oddVBand="true" w:firstColumn="false"/>
            <w:tcW w:w="11.434303%" w:type="pct"/>
          </w:tcPr>
          <w:p>
            <w:pPr>
              <w:pStyle w:val="table-level-0"/>
              <w:ind w:leftChars="0" w:left="0" w:right="0"/>
              <w:keepNext/>
            </w:pPr>
            <w:r>
              <w:t>-305</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Fondi per imposte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Strumenti derivati passivi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fondi per rischi e oneri</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r>
    </w:tbl>
    <w:p>
      <w:pPr>
        <w:pStyle w:val="TableBottomMargin"/>
      </w:pPr>
    </w:p>
    <w:p>
      <w:pPr>
        <w:pStyle w:val="BodyText"/>
        <w:ind w:leftChars="0" w:left="0" w:right="0"/>
      </w:pPr>
      <w:r>
        <w:t xml:space="preserve">Dal prospetto si evince che al 31 dicembre 2022 il valore della voce </w:t>
      </w:r>
      <w:r>
        <w:rPr>
          <w:i/>
          <w:iCs/>
        </w:rPr>
        <w:t>Fondi rischi e oneri e Fondo TFR</w:t>
      </w:r>
      <w:r>
        <w:t xml:space="preserve"> è pari a € -440.000 ed è in diminuzione del 36% rispetto al 31 dicembre 2021.</w:t>
      </w:r>
    </w:p>
    <w:p>
      <w:pPr>
        <w:pStyle w:val="BodyText"/>
        <w:ind w:leftChars="0" w:left="0" w:right="0"/>
      </w:pPr>
      <w:r>
        <w:t xml:space="preserve">Il grafico seguente mostra l’analisi dell’andamento della voce </w:t>
      </w:r>
      <w:r>
        <w:rPr>
          <w:i/>
          <w:iCs/>
        </w:rPr>
        <w:t>Fondi rischi e oneri e Fondo TFR</w:t>
      </w:r>
      <w:r>
        <w:t xml:space="preserve"> dal 31 dicembre 2017 al 31 dicembre 2022. Tale valore risulta in diminuzione del 300%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0" name="fd8b651bf4a89202517bb293841534c5.png" descr="_static/temp/fd8b651bf4a89202517bb29384153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d8b651bf4a89202517bb293841534c5.png" descr="_static/temp/fd8b651bf4a89202517bb293841534c5.png"/>
                    <pic:cNvPicPr>
                      <a:picLocks noChangeAspect="1" noChangeArrowheads="1"/>
                    </pic:cNvPicPr>
                  </pic:nvPicPr>
                  <pic:blipFill>
                    <a:blip xmlns:r="http://schemas.openxmlformats.org/officeDocument/2006/relationships" r:embed="rId6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Fondi rischi e oneri e Fondo TFR</w:t>
      </w:r>
      <w:r>
        <w:t xml:space="preserve"> al 31 dicembre 2022, la componente più significativa è rappresentata dalla voce </w:t>
      </w:r>
      <w:r>
        <w:rPr>
          <w:i/>
          <w:iCs/>
        </w:rPr>
        <w:t>Fondi per imposte, anche differite</w:t>
      </w:r>
      <w:r>
        <w:t xml:space="preserve"> con un valore pari a 0 €. Il grafico seguente visualizza la ripartizione di tutte le componenti della voce </w:t>
      </w:r>
      <w:r>
        <w:rPr>
          <w:i/>
          <w:iCs/>
        </w:rPr>
        <w:t>Fondi rischi e oneri e Fondo TFR</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1" name="6a66e6254f7821d5511b3071898bf543.png" descr="_static/temp/6a66e6254f7821d5511b3071898bf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a66e6254f7821d5511b3071898bf543.png" descr="_static/temp/6a66e6254f7821d5511b3071898bf543.png"/>
                    <pic:cNvPicPr>
                      <a:picLocks noChangeAspect="1" noChangeArrowheads="1"/>
                    </pic:cNvPicPr>
                  </pic:nvPicPr>
                  <pic:blipFill>
                    <a:blip xmlns:r="http://schemas.openxmlformats.org/officeDocument/2006/relationships" r:embed="rId64"/>
                    <a:srcRect/>
                    <a:stretch>
                      <a:fillRect/>
                    </a:stretch>
                  </pic:blipFill>
                  <pic:spPr bwMode="auto">
                    <a:xfrm>
                      <a:off x="0" y="0"/>
                      <a:ext cx="6476365" cy="3266766"/>
                    </a:xfrm>
                    <a:prstGeom prst="rect">
                      <a:avLst/>
                    </a:prstGeom>
                    <a:noFill/>
                  </pic:spPr>
                </pic:pic>
              </a:graphicData>
            </a:graphic>
          </wp:inline>
        </w:drawing>
      </w:r>
    </w:p>
    <w:br w:type="page"/>
    <w:bookmarkEnd w:id="517"/>
    <w:bookmarkEnd w:id="518"/>
    <w:bookmarkEnd w:id="507"/>
    <w:bookmarkEnd w:id="508"/>
    <w:bookmarkEnd w:id="475"/>
    <w:bookmarkEnd w:id="476"/>
    <w:bookmarkStart w:id="519" w:name="_c1f306dc072361d2c0dd5df6090da952"/>
    <w:bookmarkStart w:id="520" w:name="_4b7df992f6467056150d59975fa8943a"/>
    <w:p>
      <w:pPr>
        <w:pStyle w:val="Heading2"/>
        <w:keepNext/>
      </w:pPr>
      <w:r>
        <w:t>Fonti di finanziamento</w:t>
      </w:r>
    </w:p>
    <w:p>
      <w:pPr>
        <w:pStyle w:val="BodyText"/>
        <w:ind w:leftChars="0" w:left="0" w:right="0"/>
      </w:pPr>
      <w:r>
        <w:t xml:space="preserve">La presente sottosezione dello </w:t>
      </w:r>
      <w:hyperlink w:anchor="_0182f955a1ffe9276ea59ee7f58d0cb6">
        <w:r>
          <w:rPr>
            <w:rStyle w:val="Hyperlink"/>
          </w:rPr>
          <w:t>Stato Patrimoniale</w:t>
        </w:r>
      </w:hyperlink>
      <w:r>
        <w:t xml:space="preserve"> è dedicata alle Fonti di finanziamento. Queste rappresentano le fonti utilizzate per finanziare il capitale investito nella gestione operativa. Si dividono in fonti esterne (posizione finanziaria netta) e in fonti interne (patrimonio netto).</w:t>
      </w:r>
    </w:p>
    <w:p>
      <w:pPr>
        <w:pStyle w:val="BodyText"/>
        <w:ind w:leftChars="0" w:left="0" w:right="0"/>
      </w:pPr>
      <w:r>
        <w:t xml:space="preserve">Il prospetto seguente illustra il dettaglio analitico delle </w:t>
      </w:r>
      <w:r>
        <w:rPr>
          <w:i/>
          <w:iCs/>
        </w:rPr>
        <w:t>Fonti di finanziamento</w:t>
      </w:r>
      <w:r>
        <w:t xml:space="preserve"> della </w:t>
      </w:r>
      <w:r>
        <w:rPr>
          <w:i/>
          <w:iCs/>
        </w:rPr>
        <w:t>Società</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b7df992f6467056150d59975fa8943a">
              <w:r>
                <w:rPr>
                  <w:rStyle w:val="Hyperlink"/>
                </w:rPr>
                <w:t>Fonti di finanziamento</w:t>
              </w:r>
            </w:hyperlink>
          </w:p>
        </w:tc>
        <w:tc>
          <w:tcPr>
            <w:cnfStyle w:evenVBand="true" w:oddVBand="false" w:firstColumn="false"/>
            <w:tcW w:w="11.434303%" w:type="pct"/>
          </w:tcPr>
          <w:p>
            <w:pPr>
              <w:pStyle w:val="table-level-1"/>
              <w:ind w:leftChars="0" w:left="0" w:right="0"/>
              <w:keepNext/>
            </w:pPr>
            <w:r>
              <w:t>7.007</w:t>
            </w:r>
          </w:p>
        </w:tc>
        <w:tc>
          <w:tcPr>
            <w:cnfStyle w:evenVBand="false" w:oddVBand="true" w:firstColumn="false"/>
            <w:tcW w:w="11.434303%" w:type="pct"/>
          </w:tcPr>
          <w:p>
            <w:pPr>
              <w:pStyle w:val="table-level-1"/>
              <w:ind w:leftChars="0" w:left="0" w:right="0"/>
              <w:keepNext/>
            </w:pPr>
            <w:r>
              <w:t>6.343</w:t>
            </w:r>
          </w:p>
        </w:tc>
        <w:tc>
          <w:tcPr>
            <w:cnfStyle w:evenVBand="true" w:oddVBand="false" w:firstColumn="false"/>
            <w:tcW w:w="11.434303%" w:type="pct"/>
          </w:tcPr>
          <w:p>
            <w:pPr>
              <w:pStyle w:val="table-level-1"/>
              <w:ind w:leftChars="0" w:left="0" w:right="0"/>
              <w:keepNext/>
            </w:pPr>
            <w:r>
              <w:t>4.920</w:t>
            </w:r>
          </w:p>
        </w:tc>
        <w:tc>
          <w:tcPr>
            <w:cnfStyle w:evenVBand="false" w:oddVBand="true" w:firstColumn="false"/>
            <w:tcW w:w="11.434303%" w:type="pct"/>
          </w:tcPr>
          <w:p>
            <w:pPr>
              <w:pStyle w:val="table-level-1"/>
              <w:ind w:leftChars="0" w:left="0" w:right="0"/>
              <w:keepNext/>
            </w:pPr>
            <w:r>
              <w:t>4.555</w:t>
            </w:r>
          </w:p>
        </w:tc>
        <w:tc>
          <w:tcPr>
            <w:cnfStyle w:evenVBand="true" w:oddVBand="false" w:firstColumn="false"/>
            <w:tcW w:w="11.434303%" w:type="pct"/>
          </w:tcPr>
          <w:p>
            <w:pPr>
              <w:pStyle w:val="table-level-1"/>
              <w:ind w:leftChars="0" w:left="0" w:right="0"/>
              <w:keepNext/>
            </w:pPr>
            <w:r>
              <w:t>3.909</w:t>
            </w:r>
          </w:p>
        </w:tc>
        <w:tc>
          <w:tcPr>
            <w:cnfStyle w:evenVBand="false" w:oddVBand="true" w:firstColumn="false"/>
            <w:tcW w:w="11.434303%" w:type="pct"/>
          </w:tcPr>
          <w:p>
            <w:pPr>
              <w:pStyle w:val="table-level-1"/>
              <w:ind w:leftChars="0" w:left="0" w:right="0"/>
              <w:keepNext/>
            </w:pPr>
            <w:r>
              <w:t>3.629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5151f2961ee6627745beaa5e2aef60f0">
              <w:r>
                <w:rPr>
                  <w:rStyle w:val="Hyperlink"/>
                </w:rPr>
                <w:t>Patrimonio netto</w:t>
              </w:r>
            </w:hyperlink>
          </w:p>
        </w:tc>
        <w:tc>
          <w:tcPr>
            <w:cnfStyle w:evenVBand="true" w:oddVBand="false" w:firstColumn="false"/>
            <w:tcW w:w="11.434303%" w:type="pct"/>
          </w:tcPr>
          <w:p>
            <w:pPr>
              <w:pStyle w:val="table-level-0"/>
              <w:ind w:leftChars="0" w:left="0" w:right="0"/>
              <w:keepNext/>
            </w:pPr>
            <w:r>
              <w:t>3.669</w:t>
            </w:r>
          </w:p>
        </w:tc>
        <w:tc>
          <w:tcPr>
            <w:cnfStyle w:evenVBand="false" w:oddVBand="true" w:firstColumn="false"/>
            <w:tcW w:w="11.434303%" w:type="pct"/>
          </w:tcPr>
          <w:p>
            <w:pPr>
              <w:pStyle w:val="table-level-0"/>
              <w:ind w:leftChars="0" w:left="0" w:right="0"/>
              <w:keepNext/>
            </w:pPr>
            <w:r>
              <w:t>3.243</w:t>
            </w:r>
          </w:p>
        </w:tc>
        <w:tc>
          <w:tcPr>
            <w:cnfStyle w:evenVBand="true" w:oddVBand="false" w:firstColumn="false"/>
            <w:tcW w:w="11.434303%" w:type="pct"/>
          </w:tcPr>
          <w:p>
            <w:pPr>
              <w:pStyle w:val="table-level-0"/>
              <w:ind w:leftChars="0" w:left="0" w:right="0"/>
              <w:keepNext/>
            </w:pPr>
            <w:r>
              <w:t>2.206</w:t>
            </w:r>
          </w:p>
        </w:tc>
        <w:tc>
          <w:tcPr>
            <w:cnfStyle w:evenVBand="false" w:oddVBand="true" w:firstColumn="false"/>
            <w:tcW w:w="11.434303%" w:type="pct"/>
          </w:tcPr>
          <w:p>
            <w:pPr>
              <w:pStyle w:val="table-level-0"/>
              <w:ind w:leftChars="0" w:left="0" w:right="0"/>
              <w:keepNext/>
            </w:pPr>
            <w:r>
              <w:t>1.800</w:t>
            </w:r>
          </w:p>
        </w:tc>
        <w:tc>
          <w:tcPr>
            <w:cnfStyle w:evenVBand="true" w:oddVBand="false" w:firstColumn="false"/>
            <w:tcW w:w="11.434303%" w:type="pct"/>
          </w:tcPr>
          <w:p>
            <w:pPr>
              <w:pStyle w:val="table-level-0"/>
              <w:ind w:leftChars="0" w:left="0" w:right="0"/>
              <w:keepNext/>
            </w:pPr>
            <w:r>
              <w:t>1.351</w:t>
            </w:r>
          </w:p>
        </w:tc>
        <w:tc>
          <w:tcPr>
            <w:cnfStyle w:evenVBand="false" w:oddVBand="true" w:firstColumn="false"/>
            <w:tcW w:w="11.434303%" w:type="pct"/>
          </w:tcPr>
          <w:p>
            <w:pPr>
              <w:pStyle w:val="table-level-0"/>
              <w:ind w:leftChars="0" w:left="0" w:right="0"/>
              <w:keepNext/>
            </w:pPr>
            <w:r>
              <w:t>1.479</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6a73886d862435496ab94f274675da4a">
              <w:r>
                <w:rPr>
                  <w:rStyle w:val="Hyperlink"/>
                </w:rPr>
                <w:t>Posizione finanziaria netta</w:t>
              </w:r>
            </w:hyperlink>
          </w:p>
        </w:tc>
        <w:tc>
          <w:tcPr>
            <w:cnfStyle w:evenVBand="true" w:oddVBand="false" w:firstColumn="false"/>
            <w:tcW w:w="11.434303%" w:type="pct"/>
          </w:tcPr>
          <w:p>
            <w:pPr>
              <w:pStyle w:val="table-level-0"/>
              <w:ind w:leftChars="0" w:left="0" w:right="0"/>
              <w:keepNext/>
            </w:pPr>
            <w:r>
              <w:t>3.338</w:t>
            </w:r>
          </w:p>
        </w:tc>
        <w:tc>
          <w:tcPr>
            <w:cnfStyle w:evenVBand="false" w:oddVBand="true" w:firstColumn="false"/>
            <w:tcW w:w="11.434303%" w:type="pct"/>
          </w:tcPr>
          <w:p>
            <w:pPr>
              <w:pStyle w:val="table-level-0"/>
              <w:ind w:leftChars="0" w:left="0" w:right="0"/>
              <w:keepNext/>
            </w:pPr>
            <w:r>
              <w:t>3.100</w:t>
            </w:r>
          </w:p>
        </w:tc>
        <w:tc>
          <w:tcPr>
            <w:cnfStyle w:evenVBand="true" w:oddVBand="false" w:firstColumn="false"/>
            <w:tcW w:w="11.434303%" w:type="pct"/>
          </w:tcPr>
          <w:p>
            <w:pPr>
              <w:pStyle w:val="table-level-0"/>
              <w:ind w:leftChars="0" w:left="0" w:right="0"/>
              <w:keepNext/>
            </w:pPr>
            <w:r>
              <w:t>2.714</w:t>
            </w:r>
          </w:p>
        </w:tc>
        <w:tc>
          <w:tcPr>
            <w:cnfStyle w:evenVBand="false" w:oddVBand="true" w:firstColumn="false"/>
            <w:tcW w:w="11.434303%" w:type="pct"/>
          </w:tcPr>
          <w:p>
            <w:pPr>
              <w:pStyle w:val="table-level-0"/>
              <w:ind w:leftChars="0" w:left="0" w:right="0"/>
              <w:keepNext/>
            </w:pPr>
            <w:r>
              <w:t>2.755</w:t>
            </w:r>
          </w:p>
        </w:tc>
        <w:tc>
          <w:tcPr>
            <w:cnfStyle w:evenVBand="true" w:oddVBand="false" w:firstColumn="false"/>
            <w:tcW w:w="11.434303%" w:type="pct"/>
          </w:tcPr>
          <w:p>
            <w:pPr>
              <w:pStyle w:val="table-level-0"/>
              <w:ind w:leftChars="0" w:left="0" w:right="0"/>
              <w:keepNext/>
            </w:pPr>
            <w:r>
              <w:t>2.558</w:t>
            </w:r>
          </w:p>
        </w:tc>
        <w:tc>
          <w:tcPr>
            <w:cnfStyle w:evenVBand="false" w:oddVBand="true" w:firstColumn="false"/>
            <w:tcW w:w="11.434303%" w:type="pct"/>
          </w:tcPr>
          <w:p>
            <w:pPr>
              <w:pStyle w:val="table-level-0"/>
              <w:ind w:leftChars="0" w:left="0" w:right="0"/>
              <w:keepNext/>
            </w:pPr>
            <w:r>
              <w:t>2.150</w:t>
            </w:r>
          </w:p>
        </w:tc>
      </w:tr>
    </w:tbl>
    <w:p>
      <w:pPr>
        <w:pStyle w:val="TableBottomMargin"/>
      </w:pPr>
    </w:p>
    <w:p>
      <w:pPr>
        <w:pStyle w:val="BodyText"/>
        <w:ind w:leftChars="0" w:left="0" w:right="0"/>
      </w:pPr>
      <w:r>
        <w:t xml:space="preserve">Dal prospetto si evince che al 31 dicembre 2022 il valore delle </w:t>
      </w:r>
      <w:r>
        <w:rPr>
          <w:i/>
          <w:iCs/>
        </w:rPr>
        <w:t>Fonti di finanziamento</w:t>
      </w:r>
      <w:r>
        <w:t xml:space="preserve"> è pari a € 7.007.053 ed è in crescita del 10% rispetto al 31 dicembre 2021.</w:t>
      </w:r>
    </w:p>
    <w:p>
      <w:pPr>
        <w:pStyle w:val="BodyText"/>
        <w:ind w:leftChars="0" w:left="0" w:right="0"/>
      </w:pPr>
      <w:r>
        <w:t xml:space="preserve">Il grafico seguente mostra l’analisi dell’andamento delle </w:t>
      </w:r>
      <w:r>
        <w:rPr>
          <w:i/>
          <w:iCs/>
        </w:rPr>
        <w:t>Fonti di finanziamento</w:t>
      </w:r>
      <w:r>
        <w:t xml:space="preserve"> dal 31 dicembre 2017 al 31 dicembre 2022. Tale valore risulta in crescita del 93%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2" name="190494f3a28b37065c59d882ad4e12b5.png" descr="_static/temp/190494f3a28b37065c59d882ad4e12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90494f3a28b37065c59d882ad4e12b5.png" descr="_static/temp/190494f3a28b37065c59d882ad4e12b5.png"/>
                    <pic:cNvPicPr>
                      <a:picLocks noChangeAspect="1" noChangeArrowheads="1"/>
                    </pic:cNvPicPr>
                  </pic:nvPicPr>
                  <pic:blipFill>
                    <a:blip xmlns:r="http://schemas.openxmlformats.org/officeDocument/2006/relationships" r:embed="rId65"/>
                    <a:srcRect/>
                    <a:stretch>
                      <a:fillRect/>
                    </a:stretch>
                  </pic:blipFill>
                  <pic:spPr bwMode="auto">
                    <a:xfrm>
                      <a:off x="0" y="0"/>
                      <a:ext cx="6476365" cy="3266766"/>
                    </a:xfrm>
                    <a:prstGeom prst="rect">
                      <a:avLst/>
                    </a:prstGeom>
                    <a:noFill/>
                  </pic:spPr>
                </pic:pic>
              </a:graphicData>
            </a:graphic>
          </wp:inline>
        </w:drawing>
      </w:r>
    </w:p>
    <w:bookmarkStart w:id="521" w:name="_bf6e70b47ec35120fcd110196b17945f"/>
    <w:bookmarkStart w:id="522" w:name="_6a73886d862435496ab94f274675da4a"/>
    <w:p>
      <w:pPr>
        <w:pStyle w:val="Heading3"/>
        <w:keepNext/>
      </w:pPr>
      <w:r>
        <w:t>Posizione finanziaria netta</w:t>
      </w:r>
    </w:p>
    <w:p>
      <w:pPr>
        <w:pStyle w:val="BodyText"/>
        <w:ind w:leftChars="0" w:left="0" w:right="0"/>
      </w:pPr>
      <w:r>
        <w:t xml:space="preserve">La presente sottosezione delle </w:t>
      </w:r>
      <w:hyperlink w:anchor="_4b7df992f6467056150d59975fa8943a">
        <w:r>
          <w:rPr>
            <w:rStyle w:val="Hyperlink"/>
          </w:rPr>
          <w:t>Fonti di finanziamento</w:t>
        </w:r>
      </w:hyperlink>
      <w:r>
        <w:t xml:space="preserve"> è dedicata alla Posizione finanziaria netta. Questa rappresenta la differenza tra debiti finanziari e disponibilità liquide. Misura l’ammontare dei debiti finanziari al netto delle attività che potrebbero essere liquidate ed utilizzate per il relativo rimborso.</w:t>
      </w:r>
    </w:p>
    <w:p>
      <w:pPr>
        <w:pStyle w:val="BodyText"/>
        <w:ind w:leftChars="0" w:left="0" w:right="0"/>
      </w:pPr>
      <w:r>
        <w:t xml:space="preserve">Il prospetto seguente illustra il dettaglio analitico della voce </w:t>
      </w:r>
      <w:r>
        <w:rPr>
          <w:i/>
          <w:iCs/>
        </w:rPr>
        <w:t>Posizione finanziaria netta</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a73886d862435496ab94f274675da4a">
              <w:r>
                <w:rPr>
                  <w:rStyle w:val="Hyperlink"/>
                </w:rPr>
                <w:t>Posizione finanziaria netta</w:t>
              </w:r>
            </w:hyperlink>
          </w:p>
        </w:tc>
        <w:tc>
          <w:tcPr>
            <w:cnfStyle w:evenVBand="true" w:oddVBand="false" w:firstColumn="false"/>
            <w:tcW w:w="11.434303%" w:type="pct"/>
          </w:tcPr>
          <w:p>
            <w:pPr>
              <w:pStyle w:val="table-level-1"/>
              <w:ind w:leftChars="0" w:left="0" w:right="0"/>
              <w:keepNext/>
            </w:pPr>
            <w:r>
              <w:t>3.338</w:t>
            </w:r>
          </w:p>
        </w:tc>
        <w:tc>
          <w:tcPr>
            <w:cnfStyle w:evenVBand="false" w:oddVBand="true" w:firstColumn="false"/>
            <w:tcW w:w="11.434303%" w:type="pct"/>
          </w:tcPr>
          <w:p>
            <w:pPr>
              <w:pStyle w:val="table-level-1"/>
              <w:ind w:leftChars="0" w:left="0" w:right="0"/>
              <w:keepNext/>
            </w:pPr>
            <w:r>
              <w:t>3.100</w:t>
            </w:r>
          </w:p>
        </w:tc>
        <w:tc>
          <w:tcPr>
            <w:cnfStyle w:evenVBand="true" w:oddVBand="false" w:firstColumn="false"/>
            <w:tcW w:w="11.434303%" w:type="pct"/>
          </w:tcPr>
          <w:p>
            <w:pPr>
              <w:pStyle w:val="table-level-1"/>
              <w:ind w:leftChars="0" w:left="0" w:right="0"/>
              <w:keepNext/>
            </w:pPr>
            <w:r>
              <w:t>2.714</w:t>
            </w:r>
          </w:p>
        </w:tc>
        <w:tc>
          <w:tcPr>
            <w:cnfStyle w:evenVBand="false" w:oddVBand="true" w:firstColumn="false"/>
            <w:tcW w:w="11.434303%" w:type="pct"/>
          </w:tcPr>
          <w:p>
            <w:pPr>
              <w:pStyle w:val="table-level-1"/>
              <w:ind w:leftChars="0" w:left="0" w:right="0"/>
              <w:keepNext/>
            </w:pPr>
            <w:r>
              <w:t>2.755</w:t>
            </w:r>
          </w:p>
        </w:tc>
        <w:tc>
          <w:tcPr>
            <w:cnfStyle w:evenVBand="true" w:oddVBand="false" w:firstColumn="false"/>
            <w:tcW w:w="11.434303%" w:type="pct"/>
          </w:tcPr>
          <w:p>
            <w:pPr>
              <w:pStyle w:val="table-level-1"/>
              <w:ind w:leftChars="0" w:left="0" w:right="0"/>
              <w:keepNext/>
            </w:pPr>
            <w:r>
              <w:t>2.558</w:t>
            </w:r>
          </w:p>
        </w:tc>
        <w:tc>
          <w:tcPr>
            <w:cnfStyle w:evenVBand="false" w:oddVBand="true" w:firstColumn="false"/>
            <w:tcW w:w="11.434303%" w:type="pct"/>
          </w:tcPr>
          <w:p>
            <w:pPr>
              <w:pStyle w:val="table-level-1"/>
              <w:ind w:leftChars="0" w:left="0" w:right="0"/>
              <w:keepNext/>
            </w:pPr>
            <w:r>
              <w:t>2.150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6ac2ed6b09d8b3f425f3dfe54fa5f06d">
              <w:r>
                <w:rPr>
                  <w:rStyle w:val="Hyperlink"/>
                </w:rPr>
                <w:t>Debiti finanziari</w:t>
              </w:r>
            </w:hyperlink>
          </w:p>
        </w:tc>
        <w:tc>
          <w:tcPr>
            <w:cnfStyle w:evenVBand="true" w:oddVBand="false" w:firstColumn="false"/>
            <w:tcW w:w="11.434303%" w:type="pct"/>
          </w:tcPr>
          <w:p>
            <w:pPr>
              <w:pStyle w:val="table-level-0"/>
              <w:ind w:leftChars="0" w:left="0" w:right="0"/>
              <w:keepNext/>
            </w:pPr>
            <w:r>
              <w:t>4.710</w:t>
            </w:r>
          </w:p>
        </w:tc>
        <w:tc>
          <w:tcPr>
            <w:cnfStyle w:evenVBand="false" w:oddVBand="true" w:firstColumn="false"/>
            <w:tcW w:w="11.434303%" w:type="pct"/>
          </w:tcPr>
          <w:p>
            <w:pPr>
              <w:pStyle w:val="table-level-0"/>
              <w:ind w:leftChars="0" w:left="0" w:right="0"/>
              <w:keepNext/>
            </w:pPr>
            <w:r>
              <w:t>3.290</w:t>
            </w:r>
          </w:p>
        </w:tc>
        <w:tc>
          <w:tcPr>
            <w:cnfStyle w:evenVBand="true" w:oddVBand="false" w:firstColumn="false"/>
            <w:tcW w:w="11.434303%" w:type="pct"/>
          </w:tcPr>
          <w:p>
            <w:pPr>
              <w:pStyle w:val="table-level-0"/>
              <w:ind w:leftChars="0" w:left="0" w:right="0"/>
              <w:keepNext/>
            </w:pPr>
            <w:r>
              <w:t>3.115</w:t>
            </w:r>
          </w:p>
        </w:tc>
        <w:tc>
          <w:tcPr>
            <w:cnfStyle w:evenVBand="false" w:oddVBand="true" w:firstColumn="false"/>
            <w:tcW w:w="11.434303%" w:type="pct"/>
          </w:tcPr>
          <w:p>
            <w:pPr>
              <w:pStyle w:val="table-level-0"/>
              <w:ind w:leftChars="0" w:left="0" w:right="0"/>
              <w:keepNext/>
            </w:pPr>
            <w:r>
              <w:t>3.185</w:t>
            </w:r>
          </w:p>
        </w:tc>
        <w:tc>
          <w:tcPr>
            <w:cnfStyle w:evenVBand="true" w:oddVBand="false" w:firstColumn="false"/>
            <w:tcW w:w="11.434303%" w:type="pct"/>
          </w:tcPr>
          <w:p>
            <w:pPr>
              <w:pStyle w:val="table-level-0"/>
              <w:ind w:leftChars="0" w:left="0" w:right="0"/>
              <w:keepNext/>
            </w:pPr>
            <w:r>
              <w:t>3.166</w:t>
            </w:r>
          </w:p>
        </w:tc>
        <w:tc>
          <w:tcPr>
            <w:cnfStyle w:evenVBand="false" w:oddVBand="true" w:firstColumn="false"/>
            <w:tcW w:w="11.434303%" w:type="pct"/>
          </w:tcPr>
          <w:p>
            <w:pPr>
              <w:pStyle w:val="table-level-0"/>
              <w:ind w:leftChars="0" w:left="0" w:right="0"/>
              <w:keepNext/>
            </w:pPr>
            <w:r>
              <w:t>3.097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4881c8879e57c1dbfc0e0e1264c6459">
              <w:r>
                <w:rPr>
                  <w:rStyle w:val="Hyperlink"/>
                </w:rPr>
                <w:t>Finanziamenti soci infruttiferi</w:t>
              </w:r>
            </w:hyperlink>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110</w:t>
            </w:r>
          </w:p>
        </w:tc>
        <w:tc>
          <w:tcPr>
            <w:cnfStyle w:evenVBand="false" w:oddVBand="true" w:firstColumn="false"/>
            <w:tcW w:w="11.434303%" w:type="pct"/>
          </w:tcPr>
          <w:p>
            <w:pPr>
              <w:pStyle w:val="table-level-0"/>
              <w:ind w:leftChars="0" w:left="0" w:right="0"/>
              <w:keepNext/>
            </w:pPr>
            <w:r>
              <w:t>120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20109696b1aea37c68fc603920a1c07">
              <w:r>
                <w:rPr>
                  <w:rStyle w:val="Hyperlink"/>
                </w:rPr>
                <w:t>Attivo finanziario corrente</w:t>
              </w:r>
            </w:hyperlink>
          </w:p>
        </w:tc>
        <w:tc>
          <w:tcPr>
            <w:cnfStyle w:evenVBand="true" w:oddVBand="false" w:firstColumn="false"/>
            <w:tcW w:w="11.434303%" w:type="pct"/>
          </w:tcPr>
          <w:p>
            <w:pPr>
              <w:pStyle w:val="table-level-0"/>
              <w:ind w:leftChars="0" w:left="0" w:right="0"/>
              <w:keepNext/>
            </w:pPr>
            <w:r>
              <w:t>-1.442</w:t>
            </w:r>
          </w:p>
        </w:tc>
        <w:tc>
          <w:tcPr>
            <w:cnfStyle w:evenVBand="false" w:oddVBand="true" w:firstColumn="false"/>
            <w:tcW w:w="11.434303%" w:type="pct"/>
          </w:tcPr>
          <w:p>
            <w:pPr>
              <w:pStyle w:val="table-level-0"/>
              <w:ind w:leftChars="0" w:left="0" w:right="0"/>
              <w:keepNext/>
            </w:pPr>
            <w:r>
              <w:t>-270</w:t>
            </w:r>
          </w:p>
        </w:tc>
        <w:tc>
          <w:tcPr>
            <w:cnfStyle w:evenVBand="true" w:oddVBand="false" w:firstColumn="false"/>
            <w:tcW w:w="11.434303%" w:type="pct"/>
          </w:tcPr>
          <w:p>
            <w:pPr>
              <w:pStyle w:val="table-level-0"/>
              <w:ind w:leftChars="0" w:left="0" w:right="0"/>
              <w:keepNext/>
            </w:pPr>
            <w:r>
              <w:t>-481,4</w:t>
            </w:r>
          </w:p>
        </w:tc>
        <w:tc>
          <w:tcPr>
            <w:cnfStyle w:evenVBand="false" w:oddVBand="true" w:firstColumn="false"/>
            <w:tcW w:w="11.434303%" w:type="pct"/>
          </w:tcPr>
          <w:p>
            <w:pPr>
              <w:pStyle w:val="table-level-0"/>
              <w:ind w:leftChars="0" w:left="0" w:right="0"/>
              <w:keepNext/>
            </w:pPr>
            <w:r>
              <w:t>-529,8</w:t>
            </w:r>
          </w:p>
        </w:tc>
        <w:tc>
          <w:tcPr>
            <w:cnfStyle w:evenVBand="true" w:oddVBand="false" w:firstColumn="false"/>
            <w:tcW w:w="11.434303%" w:type="pct"/>
          </w:tcPr>
          <w:p>
            <w:pPr>
              <w:pStyle w:val="table-level-0"/>
              <w:ind w:leftChars="0" w:left="0" w:right="0"/>
              <w:keepNext/>
            </w:pPr>
            <w:r>
              <w:t>-717,7</w:t>
            </w:r>
          </w:p>
        </w:tc>
        <w:tc>
          <w:tcPr>
            <w:cnfStyle w:evenVBand="false" w:oddVBand="true" w:firstColumn="false"/>
            <w:tcW w:w="11.434303%" w:type="pct"/>
          </w:tcPr>
          <w:p>
            <w:pPr>
              <w:pStyle w:val="table-level-0"/>
              <w:ind w:leftChars="0" w:left="0" w:right="0"/>
              <w:keepNext/>
            </w:pPr>
            <w:r>
              <w:t>-1.067</w:t>
            </w:r>
          </w:p>
        </w:tc>
      </w:tr>
    </w:tbl>
    <w:p>
      <w:pPr>
        <w:pStyle w:val="TableBottomMargin"/>
      </w:pPr>
    </w:p>
    <w:p>
      <w:pPr>
        <w:pStyle w:val="BodyText"/>
        <w:ind w:leftChars="0" w:left="0" w:right="0"/>
      </w:pPr>
      <w:r>
        <w:t xml:space="preserve">Dal prospetto si evince che al 31 dicembre 2022 il valore della voce </w:t>
      </w:r>
      <w:r>
        <w:rPr>
          <w:i/>
          <w:iCs/>
        </w:rPr>
        <w:t>Posizione finanziaria netta</w:t>
      </w:r>
      <w:r>
        <w:t xml:space="preserve"> è pari a € 3.338.167 ed è in crescita del 8% rispetto al 31 dicembre 2021.</w:t>
      </w:r>
    </w:p>
    <w:p>
      <w:pPr>
        <w:pStyle w:val="BodyText"/>
        <w:ind w:leftChars="0" w:left="0" w:right="0"/>
      </w:pPr>
      <w:r>
        <w:t xml:space="preserve">Il grafico seguente mostra l’analisi dell’andamento della voce </w:t>
      </w:r>
      <w:r>
        <w:rPr>
          <w:i/>
          <w:iCs/>
        </w:rPr>
        <w:t>Posizione finanziaria netta</w:t>
      </w:r>
      <w:r>
        <w:t xml:space="preserve"> dal 31 dicembre 2017 al 31 dicembre 2022. Tale valore risulta in crescita del 55%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3" name="a71c6ce5f2cc559a82d429550b7b1004.png" descr="_static/temp/a71c6ce5f2cc559a82d429550b7b1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71c6ce5f2cc559a82d429550b7b1004.png" descr="_static/temp/a71c6ce5f2cc559a82d429550b7b1004.png"/>
                    <pic:cNvPicPr>
                      <a:picLocks noChangeAspect="1" noChangeArrowheads="1"/>
                    </pic:cNvPicPr>
                  </pic:nvPicPr>
                  <pic:blipFill>
                    <a:blip xmlns:r="http://schemas.openxmlformats.org/officeDocument/2006/relationships" r:embed="rId6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Posizione finanziaria netta</w:t>
      </w:r>
      <w:r>
        <w:t xml:space="preserve"> al 31 dicembre 2022, la componente più significativa è rappresentata dalla voce </w:t>
      </w:r>
      <w:r>
        <w:rPr>
          <w:i/>
          <w:iCs/>
        </w:rPr>
        <w:t>Debiti finanziari</w:t>
      </w:r>
      <w:r>
        <w:t xml:space="preserve"> con un valore pari a 4.710.000 €. Il grafico seguente visualizza la ripartizione di tutte le componenti della voce </w:t>
      </w:r>
      <w:r>
        <w:rPr>
          <w:i/>
          <w:iCs/>
        </w:rPr>
        <w:t>Posizione finanziaria netta</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4" name="abd0255dd3b0d329ba65131fce8ecdea.png" descr="_static/temp/abd0255dd3b0d329ba65131fce8ec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bd0255dd3b0d329ba65131fce8ecdea.png" descr="_static/temp/abd0255dd3b0d329ba65131fce8ecdea.png"/>
                    <pic:cNvPicPr>
                      <a:picLocks noChangeAspect="1" noChangeArrowheads="1"/>
                    </pic:cNvPicPr>
                  </pic:nvPicPr>
                  <pic:blipFill>
                    <a:blip xmlns:r="http://schemas.openxmlformats.org/officeDocument/2006/relationships" r:embed="rId67"/>
                    <a:srcRect/>
                    <a:stretch>
                      <a:fillRect/>
                    </a:stretch>
                  </pic:blipFill>
                  <pic:spPr bwMode="auto">
                    <a:xfrm>
                      <a:off x="0" y="0"/>
                      <a:ext cx="6476365" cy="3266766"/>
                    </a:xfrm>
                    <a:prstGeom prst="rect">
                      <a:avLst/>
                    </a:prstGeom>
                    <a:noFill/>
                  </pic:spPr>
                </pic:pic>
              </a:graphicData>
            </a:graphic>
          </wp:inline>
        </w:drawing>
      </w:r>
    </w:p>
    <w:bookmarkStart w:id="523" w:name="_acd83f53f4ce1af34a0ece57770c2f6f"/>
    <w:bookmarkStart w:id="524" w:name="_6ac2ed6b09d8b3f425f3dfe54fa5f06d"/>
    <w:p>
      <w:pPr>
        <w:pStyle w:val="Heading4"/>
        <w:keepNext/>
      </w:pPr>
      <w:r>
        <w:t>Debiti finanziari</w:t>
      </w:r>
    </w:p>
    <w:p>
      <w:pPr>
        <w:pStyle w:val="BodyText"/>
        <w:ind w:leftChars="0" w:left="0" w:right="0"/>
      </w:pPr>
      <w:r>
        <w:t xml:space="preserve">La presente sottosezione della </w:t>
      </w:r>
      <w:hyperlink w:anchor="_6a73886d862435496ab94f274675da4a">
        <w:r>
          <w:rPr>
            <w:rStyle w:val="Hyperlink"/>
          </w:rPr>
          <w:t>Posizione finanziaria netta</w:t>
        </w:r>
      </w:hyperlink>
      <w:r>
        <w:t xml:space="preserve"> è dedicata ai debiti finanziari. Questi sono rappresentati sia da finanziamenti a breve termine, utili per far fronte alle temporanee esigenze di liquidità, sia da finanziamenti a medio-lungo termine, utili a supportare gli investimenti.</w:t>
      </w:r>
    </w:p>
    <w:p>
      <w:pPr>
        <w:pStyle w:val="BodyText"/>
        <w:ind w:leftChars="0" w:left="0" w:right="0"/>
      </w:pPr>
      <w:r>
        <w:t xml:space="preserve">Il prospetto seguente illustra il dettaglio analitico della voce </w:t>
      </w:r>
      <w:r>
        <w:rPr>
          <w:i/>
          <w:iCs/>
        </w:rPr>
        <w:t>Debiti finanziari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ac2ed6b09d8b3f425f3dfe54fa5f06d">
              <w:r>
                <w:rPr>
                  <w:rStyle w:val="Hyperlink"/>
                </w:rPr>
                <w:t>Debiti finanziari</w:t>
              </w:r>
            </w:hyperlink>
          </w:p>
        </w:tc>
        <w:tc>
          <w:tcPr>
            <w:cnfStyle w:evenVBand="true" w:oddVBand="false" w:firstColumn="false"/>
            <w:tcW w:w="11.434303%" w:type="pct"/>
          </w:tcPr>
          <w:p>
            <w:pPr>
              <w:pStyle w:val="table-level-1"/>
              <w:ind w:leftChars="0" w:left="0" w:right="0"/>
              <w:keepNext/>
            </w:pPr>
            <w:r>
              <w:t>4.710</w:t>
            </w:r>
          </w:p>
        </w:tc>
        <w:tc>
          <w:tcPr>
            <w:cnfStyle w:evenVBand="false" w:oddVBand="true" w:firstColumn="false"/>
            <w:tcW w:w="11.434303%" w:type="pct"/>
          </w:tcPr>
          <w:p>
            <w:pPr>
              <w:pStyle w:val="table-level-1"/>
              <w:ind w:leftChars="0" w:left="0" w:right="0"/>
              <w:keepNext/>
            </w:pPr>
            <w:r>
              <w:t>3.290</w:t>
            </w:r>
          </w:p>
        </w:tc>
        <w:tc>
          <w:tcPr>
            <w:cnfStyle w:evenVBand="true" w:oddVBand="false" w:firstColumn="false"/>
            <w:tcW w:w="11.434303%" w:type="pct"/>
          </w:tcPr>
          <w:p>
            <w:pPr>
              <w:pStyle w:val="table-level-1"/>
              <w:ind w:leftChars="0" w:left="0" w:right="0"/>
              <w:keepNext/>
            </w:pPr>
            <w:r>
              <w:t>3.115</w:t>
            </w:r>
          </w:p>
        </w:tc>
        <w:tc>
          <w:tcPr>
            <w:cnfStyle w:evenVBand="false" w:oddVBand="true" w:firstColumn="false"/>
            <w:tcW w:w="11.434303%" w:type="pct"/>
          </w:tcPr>
          <w:p>
            <w:pPr>
              <w:pStyle w:val="table-level-1"/>
              <w:ind w:leftChars="0" w:left="0" w:right="0"/>
              <w:keepNext/>
            </w:pPr>
            <w:r>
              <w:t>3.185</w:t>
            </w:r>
          </w:p>
        </w:tc>
        <w:tc>
          <w:tcPr>
            <w:cnfStyle w:evenVBand="true" w:oddVBand="false" w:firstColumn="false"/>
            <w:tcW w:w="11.434303%" w:type="pct"/>
          </w:tcPr>
          <w:p>
            <w:pPr>
              <w:pStyle w:val="table-level-1"/>
              <w:ind w:leftChars="0" w:left="0" w:right="0"/>
              <w:keepNext/>
            </w:pPr>
            <w:r>
              <w:t>3.166</w:t>
            </w:r>
          </w:p>
        </w:tc>
        <w:tc>
          <w:tcPr>
            <w:cnfStyle w:evenVBand="false" w:oddVBand="true" w:firstColumn="false"/>
            <w:tcW w:w="11.434303%" w:type="pct"/>
          </w:tcPr>
          <w:p>
            <w:pPr>
              <w:pStyle w:val="table-level-1"/>
              <w:ind w:leftChars="0" w:left="0" w:right="0"/>
              <w:keepNext/>
            </w:pPr>
            <w:r>
              <w:t>3.097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5fb7b826921429561ca078bca28c5e0c">
              <w:r>
                <w:rPr>
                  <w:rStyle w:val="Hyperlink"/>
                </w:rPr>
                <w:t>Obbligazioni</w:t>
              </w:r>
            </w:hyperlink>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95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b4432d1dfcc863667352184cc4e35f1a">
              <w:r>
                <w:rPr>
                  <w:rStyle w:val="Hyperlink"/>
                </w:rPr>
                <w:t>Debiti v/banche</w:t>
              </w:r>
            </w:hyperlink>
          </w:p>
        </w:tc>
        <w:tc>
          <w:tcPr>
            <w:cnfStyle w:evenVBand="true" w:oddVBand="false" w:firstColumn="false"/>
            <w:tcW w:w="11.434303%" w:type="pct"/>
          </w:tcPr>
          <w:p>
            <w:pPr>
              <w:pStyle w:val="table-level-0"/>
              <w:ind w:leftChars="0" w:left="0" w:right="0"/>
              <w:keepNext/>
            </w:pPr>
            <w:r>
              <w:t>4.575</w:t>
            </w:r>
          </w:p>
        </w:tc>
        <w:tc>
          <w:tcPr>
            <w:cnfStyle w:evenVBand="false" w:oddVBand="true" w:firstColumn="false"/>
            <w:tcW w:w="11.434303%" w:type="pct"/>
          </w:tcPr>
          <w:p>
            <w:pPr>
              <w:pStyle w:val="table-level-0"/>
              <w:ind w:leftChars="0" w:left="0" w:right="0"/>
              <w:keepNext/>
            </w:pPr>
            <w:r>
              <w:t>3.145</w:t>
            </w:r>
          </w:p>
        </w:tc>
        <w:tc>
          <w:tcPr>
            <w:cnfStyle w:evenVBand="true" w:oddVBand="false" w:firstColumn="false"/>
            <w:tcW w:w="11.434303%" w:type="pct"/>
          </w:tcPr>
          <w:p>
            <w:pPr>
              <w:pStyle w:val="table-level-0"/>
              <w:ind w:leftChars="0" w:left="0" w:right="0"/>
              <w:keepNext/>
            </w:pPr>
            <w:r>
              <w:t>2.975</w:t>
            </w:r>
          </w:p>
        </w:tc>
        <w:tc>
          <w:tcPr>
            <w:cnfStyle w:evenVBand="false" w:oddVBand="true" w:firstColumn="false"/>
            <w:tcW w:w="11.434303%" w:type="pct"/>
          </w:tcPr>
          <w:p>
            <w:pPr>
              <w:pStyle w:val="table-level-0"/>
              <w:ind w:leftChars="0" w:left="0" w:right="0"/>
              <w:keepNext/>
            </w:pPr>
            <w:r>
              <w:t>3.075</w:t>
            </w:r>
          </w:p>
        </w:tc>
        <w:tc>
          <w:tcPr>
            <w:cnfStyle w:evenVBand="true" w:oddVBand="false" w:firstColumn="false"/>
            <w:tcW w:w="11.434303%" w:type="pct"/>
          </w:tcPr>
          <w:p>
            <w:pPr>
              <w:pStyle w:val="table-level-0"/>
              <w:ind w:leftChars="0" w:left="0" w:right="0"/>
              <w:keepNext/>
            </w:pPr>
            <w:r>
              <w:t>3.020</w:t>
            </w:r>
          </w:p>
        </w:tc>
        <w:tc>
          <w:tcPr>
            <w:cnfStyle w:evenVBand="false" w:oddVBand="true" w:firstColumn="false"/>
            <w:tcW w:w="11.434303%" w:type="pct"/>
          </w:tcPr>
          <w:p>
            <w:pPr>
              <w:pStyle w:val="table-level-0"/>
              <w:ind w:leftChars="0" w:left="0" w:right="0"/>
              <w:keepNext/>
            </w:pPr>
            <w:r>
              <w:t>2.920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ca5f6641fe81ec8c8f8198664848aad">
              <w:r>
                <w:rPr>
                  <w:rStyle w:val="Hyperlink"/>
                </w:rPr>
                <w:t>Debiti finanziari v/altri</w:t>
              </w:r>
            </w:hyperlink>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55,8</w:t>
            </w:r>
          </w:p>
        </w:tc>
        <w:tc>
          <w:tcPr>
            <w:cnfStyle w:evenVBand="false" w:oddVBand="true" w:firstColumn="false"/>
            <w:tcW w:w="11.434303%" w:type="pct"/>
          </w:tcPr>
          <w:p>
            <w:pPr>
              <w:pStyle w:val="table-level-0"/>
              <w:ind w:leftChars="0" w:left="0" w:right="0"/>
              <w:keepNext/>
            </w:pPr>
            <w:r>
              <w:t>56,6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Finanziamenti soci fruttiferi</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20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r>
    </w:tbl>
    <w:p>
      <w:pPr>
        <w:pStyle w:val="TableBottomMargin"/>
      </w:pPr>
    </w:p>
    <w:p>
      <w:pPr>
        <w:pStyle w:val="BodyText"/>
        <w:ind w:leftChars="0" w:left="0" w:right="0"/>
      </w:pPr>
      <w:r>
        <w:t xml:space="preserve">Dal prospetto si evince che al 31 dicembre 2022 il valore della voce </w:t>
      </w:r>
      <w:r>
        <w:rPr>
          <w:i/>
          <w:iCs/>
        </w:rPr>
        <w:t>Debiti finanziari</w:t>
      </w:r>
      <w:r>
        <w:t xml:space="preserve"> è pari a € 4.710.000 ed è in crescita del 43% rispetto al 31 dicembre 2021.</w:t>
      </w:r>
    </w:p>
    <w:p>
      <w:pPr>
        <w:pStyle w:val="BodyText"/>
        <w:ind w:leftChars="0" w:left="0" w:right="0"/>
      </w:pPr>
      <w:r>
        <w:t xml:space="preserve">Il grafico seguente mostra l’analisi dell’andamento della voce </w:t>
      </w:r>
      <w:r>
        <w:rPr>
          <w:i/>
          <w:iCs/>
        </w:rPr>
        <w:t>Debiti finanziari</w:t>
      </w:r>
      <w:r>
        <w:t xml:space="preserve"> dal 31 dicembre 2017 al 31 dicembre 2022. Tale valore risulta in crescita del 52%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5" name="01a7e953070fe7ed7a8f2c94b45a3c23.png" descr="_static/temp/01a7e953070fe7ed7a8f2c94b45a3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1a7e953070fe7ed7a8f2c94b45a3c23.png" descr="_static/temp/01a7e953070fe7ed7a8f2c94b45a3c23.png"/>
                    <pic:cNvPicPr>
                      <a:picLocks noChangeAspect="1" noChangeArrowheads="1"/>
                    </pic:cNvPicPr>
                  </pic:nvPicPr>
                  <pic:blipFill>
                    <a:blip xmlns:r="http://schemas.openxmlformats.org/officeDocument/2006/relationships" r:embed="rId6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Debiti finanziari</w:t>
      </w:r>
      <w:r>
        <w:t xml:space="preserve"> al 31 dicembre 2022, la componente più significativa è rappresentata dalla voce </w:t>
      </w:r>
      <w:r>
        <w:rPr>
          <w:i/>
          <w:iCs/>
        </w:rPr>
        <w:t>Debiti verso banche</w:t>
      </w:r>
      <w:r>
        <w:t xml:space="preserve"> con un valore pari a 4.575.000 €. Il grafico seguente visualizza la ripartizione di tutte le componenti della voce </w:t>
      </w:r>
      <w:r>
        <w:rPr>
          <w:i/>
          <w:iCs/>
        </w:rPr>
        <w:t>Debiti finanziari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6" name="fcda941574272e818206a9ec29f190d8.png" descr="_static/temp/fcda941574272e818206a9ec29f190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cda941574272e818206a9ec29f190d8.png" descr="_static/temp/fcda941574272e818206a9ec29f190d8.png"/>
                    <pic:cNvPicPr>
                      <a:picLocks noChangeAspect="1" noChangeArrowheads="1"/>
                    </pic:cNvPicPr>
                  </pic:nvPicPr>
                  <pic:blipFill>
                    <a:blip xmlns:r="http://schemas.openxmlformats.org/officeDocument/2006/relationships" r:embed="rId69"/>
                    <a:srcRect/>
                    <a:stretch>
                      <a:fillRect/>
                    </a:stretch>
                  </pic:blipFill>
                  <pic:spPr bwMode="auto">
                    <a:xfrm>
                      <a:off x="0" y="0"/>
                      <a:ext cx="6476365" cy="3266766"/>
                    </a:xfrm>
                    <a:prstGeom prst="rect">
                      <a:avLst/>
                    </a:prstGeom>
                    <a:noFill/>
                  </pic:spPr>
                </pic:pic>
              </a:graphicData>
            </a:graphic>
          </wp:inline>
        </w:drawing>
      </w:r>
    </w:p>
    <w:bookmarkStart w:id="525" w:name="_545a107e7b8ff89bd88bee42304d94cf"/>
    <w:bookmarkStart w:id="526" w:name="_5fb7b826921429561ca078bca28c5e0c"/>
    <w:p>
      <w:pPr>
        <w:pStyle w:val="Heading5"/>
        <w:keepNext/>
      </w:pPr>
      <w:r>
        <w:t>Obbligazioni</w:t>
      </w:r>
    </w:p>
    <w:p>
      <w:pPr>
        <w:pStyle w:val="BodyText"/>
        <w:ind w:leftChars="0" w:left="0" w:right="0"/>
      </w:pPr>
      <w:r>
        <w:t xml:space="preserve">La presente sottosezione dei </w:t>
      </w:r>
      <w:hyperlink w:anchor="_6ac2ed6b09d8b3f425f3dfe54fa5f06d">
        <w:r>
          <w:rPr>
            <w:rStyle w:val="Hyperlink"/>
          </w:rPr>
          <w:t>Debiti finanziari</w:t>
        </w:r>
      </w:hyperlink>
      <w:r>
        <w:t xml:space="preserve"> è dedicata ai debiti per obbligazioni. Questi rappresentano debiti relativi ad operazioni di finanziamento mediante titoli obbligazionari.</w:t>
      </w:r>
    </w:p>
    <w:p>
      <w:pPr>
        <w:pStyle w:val="BodyText"/>
        <w:ind w:leftChars="0" w:left="0" w:right="0"/>
      </w:pPr>
      <w:r>
        <w:t xml:space="preserve">Il prospetto seguente illustra il dettaglio analitico della voce </w:t>
      </w:r>
      <w:r>
        <w:rPr>
          <w:i/>
          <w:iCs/>
        </w:rPr>
        <w:t>Obbligazioni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5fb7b826921429561ca078bca28c5e0c">
              <w:r>
                <w:rPr>
                  <w:rStyle w:val="Hyperlink"/>
                </w:rPr>
                <w:t>Obbligazioni</w:t>
              </w:r>
            </w:hyperlink>
          </w:p>
        </w:tc>
        <w:tc>
          <w:tcPr>
            <w:cnfStyle w:evenVBand="true" w:oddVBand="false" w:firstColumn="false"/>
            <w:tcW w:w="11.434303%" w:type="pct"/>
          </w:tcPr>
          <w:p>
            <w:pPr>
              <w:pStyle w:val="table-level-1"/>
              <w:ind w:leftChars="0" w:left="0" w:right="0"/>
              <w:keepNext/>
            </w:pPr>
            <w:r>
              <w:t>40</w:t>
            </w:r>
          </w:p>
        </w:tc>
        <w:tc>
          <w:tcPr>
            <w:cnfStyle w:evenVBand="false" w:oddVBand="true" w:firstColumn="false"/>
            <w:tcW w:w="11.434303%" w:type="pct"/>
          </w:tcPr>
          <w:p>
            <w:pPr>
              <w:pStyle w:val="table-level-1"/>
              <w:ind w:leftChars="0" w:left="0" w:right="0"/>
              <w:keepNext/>
            </w:pPr>
            <w:r>
              <w:t>55</w:t>
            </w:r>
          </w:p>
        </w:tc>
        <w:tc>
          <w:tcPr>
            <w:cnfStyle w:evenVBand="true" w:oddVBand="false" w:firstColumn="false"/>
            <w:tcW w:w="11.434303%" w:type="pct"/>
          </w:tcPr>
          <w:p>
            <w:pPr>
              <w:pStyle w:val="table-level-1"/>
              <w:ind w:leftChars="0" w:left="0" w:right="0"/>
              <w:keepNext/>
            </w:pPr>
            <w:r>
              <w:t>55</w:t>
            </w:r>
          </w:p>
        </w:tc>
        <w:tc>
          <w:tcPr>
            <w:cnfStyle w:evenVBand="false" w:oddVBand="true" w:firstColumn="false"/>
            <w:tcW w:w="11.434303%" w:type="pct"/>
          </w:tcPr>
          <w:p>
            <w:pPr>
              <w:pStyle w:val="table-level-1"/>
              <w:ind w:leftChars="0" w:left="0" w:right="0"/>
              <w:keepNext/>
            </w:pPr>
            <w:r>
              <w:t>55</w:t>
            </w:r>
          </w:p>
        </w:tc>
        <w:tc>
          <w:tcPr>
            <w:cnfStyle w:evenVBand="true" w:oddVBand="false" w:firstColumn="false"/>
            <w:tcW w:w="11.434303%" w:type="pct"/>
          </w:tcPr>
          <w:p>
            <w:pPr>
              <w:pStyle w:val="table-level-1"/>
              <w:ind w:leftChars="0" w:left="0" w:right="0"/>
              <w:keepNext/>
            </w:pPr>
            <w:r>
              <w:t>75</w:t>
            </w:r>
          </w:p>
        </w:tc>
        <w:tc>
          <w:tcPr>
            <w:cnfStyle w:evenVBand="false" w:oddVBand="true" w:firstColumn="false"/>
            <w:tcW w:w="11.434303%" w:type="pct"/>
          </w:tcPr>
          <w:p>
            <w:pPr>
              <w:pStyle w:val="table-level-1"/>
              <w:ind w:leftChars="0" w:left="0" w:right="0"/>
              <w:keepNext/>
            </w:pPr>
            <w:r>
              <w:t>95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Obbligazioni</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95</w:t>
            </w:r>
          </w:p>
        </w:tc>
      </w:tr>
    </w:tbl>
    <w:p>
      <w:pPr>
        <w:pStyle w:val="TableBottomMargin"/>
      </w:pPr>
    </w:p>
    <w:p>
      <w:pPr>
        <w:pStyle w:val="BodyText"/>
        <w:ind w:leftChars="0" w:left="0" w:right="0"/>
      </w:pPr>
      <w:r>
        <w:t xml:space="preserve">Dal prospetto si evince che al 31 dicembre 2022 il valore della voce </w:t>
      </w:r>
      <w:r>
        <w:rPr>
          <w:i/>
          <w:iCs/>
        </w:rPr>
        <w:t>Obbligazioni</w:t>
      </w:r>
      <w:r>
        <w:t xml:space="preserve"> è pari a € 40.000 ed è in diminuzione del 27% rispetto al 31 dicembre 2021.</w:t>
      </w:r>
    </w:p>
    <w:p>
      <w:pPr>
        <w:pStyle w:val="BodyText"/>
        <w:ind w:leftChars="0" w:left="0" w:right="0"/>
      </w:pPr>
      <w:r>
        <w:t xml:space="preserve">Il grafico seguente mostra l’analisi dell’andamento della voce </w:t>
      </w:r>
      <w:r>
        <w:rPr>
          <w:i/>
          <w:iCs/>
        </w:rPr>
        <w:t>Obbligazioni</w:t>
      </w:r>
      <w:r>
        <w:t xml:space="preserve"> dal 31 dicembre 2017 al 31 dicembre 2022. Tale valore risulta in diminuzione del 58%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7" name="a345f07a9a71b4e076462a7aa53b2a25.png" descr="_static/temp/a345f07a9a71b4e076462a7aa53b2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345f07a9a71b4e076462a7aa53b2a25.png" descr="_static/temp/a345f07a9a71b4e076462a7aa53b2a25.png"/>
                    <pic:cNvPicPr>
                      <a:picLocks noChangeAspect="1" noChangeArrowheads="1"/>
                    </pic:cNvPicPr>
                  </pic:nvPicPr>
                  <pic:blipFill>
                    <a:blip xmlns:r="http://schemas.openxmlformats.org/officeDocument/2006/relationships" r:embed="rId70"/>
                    <a:srcRect/>
                    <a:stretch>
                      <a:fillRect/>
                    </a:stretch>
                  </pic:blipFill>
                  <pic:spPr bwMode="auto">
                    <a:xfrm>
                      <a:off x="0" y="0"/>
                      <a:ext cx="6476365" cy="3266766"/>
                    </a:xfrm>
                    <a:prstGeom prst="rect">
                      <a:avLst/>
                    </a:prstGeom>
                    <a:noFill/>
                  </pic:spPr>
                </pic:pic>
              </a:graphicData>
            </a:graphic>
          </wp:inline>
        </w:drawing>
      </w:r>
    </w:p>
    <w:bookmarkEnd w:id="525"/>
    <w:bookmarkEnd w:id="526"/>
    <w:bookmarkStart w:id="527" w:name="_4892452de204f51578ca2f1f7e48ae4c"/>
    <w:bookmarkStart w:id="528" w:name="_b4432d1dfcc863667352184cc4e35f1a"/>
    <w:p>
      <w:pPr>
        <w:pStyle w:val="Heading5"/>
        <w:keepNext/>
      </w:pPr>
      <w:r>
        <w:t>Debiti verso banche</w:t>
      </w:r>
    </w:p>
    <w:p>
      <w:pPr>
        <w:pStyle w:val="BodyText"/>
        <w:ind w:leftChars="0" w:left="0" w:right="0"/>
      </w:pPr>
      <w:r>
        <w:t xml:space="preserve">La presente sottosezione dei </w:t>
      </w:r>
      <w:hyperlink w:anchor="_6ac2ed6b09d8b3f425f3dfe54fa5f06d">
        <w:r>
          <w:rPr>
            <w:rStyle w:val="Hyperlink"/>
          </w:rPr>
          <w:t>Debiti finanziari</w:t>
        </w:r>
      </w:hyperlink>
      <w:r>
        <w:t xml:space="preserve"> è dedicata ai debiti verso banche. Questi rappresentano debiti relativi ad operazioni finanziarie originate da istituti di credito.</w:t>
      </w:r>
    </w:p>
    <w:p>
      <w:pPr>
        <w:pStyle w:val="BodyText"/>
        <w:ind w:leftChars="0" w:left="0" w:right="0"/>
      </w:pPr>
      <w:r>
        <w:t xml:space="preserve">Il prospetto seguente illustra il dettaglio analitico della voce </w:t>
      </w:r>
      <w:r>
        <w:rPr>
          <w:i/>
          <w:iCs/>
        </w:rPr>
        <w:t>Debiti verso banche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b4432d1dfcc863667352184cc4e35f1a">
              <w:r>
                <w:rPr>
                  <w:rStyle w:val="Hyperlink"/>
                </w:rPr>
                <w:t>Debiti v/banche</w:t>
              </w:r>
            </w:hyperlink>
          </w:p>
        </w:tc>
        <w:tc>
          <w:tcPr>
            <w:cnfStyle w:evenVBand="true" w:oddVBand="false" w:firstColumn="false"/>
            <w:tcW w:w="11.434303%" w:type="pct"/>
          </w:tcPr>
          <w:p>
            <w:pPr>
              <w:pStyle w:val="table-level-1"/>
              <w:ind w:leftChars="0" w:left="0" w:right="0"/>
              <w:keepNext/>
            </w:pPr>
            <w:r>
              <w:t>4.575</w:t>
            </w:r>
          </w:p>
        </w:tc>
        <w:tc>
          <w:tcPr>
            <w:cnfStyle w:evenVBand="false" w:oddVBand="true" w:firstColumn="false"/>
            <w:tcW w:w="11.434303%" w:type="pct"/>
          </w:tcPr>
          <w:p>
            <w:pPr>
              <w:pStyle w:val="table-level-1"/>
              <w:ind w:leftChars="0" w:left="0" w:right="0"/>
              <w:keepNext/>
            </w:pPr>
            <w:r>
              <w:t>3.145</w:t>
            </w:r>
          </w:p>
        </w:tc>
        <w:tc>
          <w:tcPr>
            <w:cnfStyle w:evenVBand="true" w:oddVBand="false" w:firstColumn="false"/>
            <w:tcW w:w="11.434303%" w:type="pct"/>
          </w:tcPr>
          <w:p>
            <w:pPr>
              <w:pStyle w:val="table-level-1"/>
              <w:ind w:leftChars="0" w:left="0" w:right="0"/>
              <w:keepNext/>
            </w:pPr>
            <w:r>
              <w:t>2.975</w:t>
            </w:r>
          </w:p>
        </w:tc>
        <w:tc>
          <w:tcPr>
            <w:cnfStyle w:evenVBand="false" w:oddVBand="true" w:firstColumn="false"/>
            <w:tcW w:w="11.434303%" w:type="pct"/>
          </w:tcPr>
          <w:p>
            <w:pPr>
              <w:pStyle w:val="table-level-1"/>
              <w:ind w:leftChars="0" w:left="0" w:right="0"/>
              <w:keepNext/>
            </w:pPr>
            <w:r>
              <w:t>3.075</w:t>
            </w:r>
          </w:p>
        </w:tc>
        <w:tc>
          <w:tcPr>
            <w:cnfStyle w:evenVBand="true" w:oddVBand="false" w:firstColumn="false"/>
            <w:tcW w:w="11.434303%" w:type="pct"/>
          </w:tcPr>
          <w:p>
            <w:pPr>
              <w:pStyle w:val="table-level-1"/>
              <w:ind w:leftChars="0" w:left="0" w:right="0"/>
              <w:keepNext/>
            </w:pPr>
            <w:r>
              <w:t>3.020</w:t>
            </w:r>
          </w:p>
        </w:tc>
        <w:tc>
          <w:tcPr>
            <w:cnfStyle w:evenVBand="false" w:oddVBand="true" w:firstColumn="false"/>
            <w:tcW w:w="11.434303%" w:type="pct"/>
          </w:tcPr>
          <w:p>
            <w:pPr>
              <w:pStyle w:val="table-level-1"/>
              <w:ind w:leftChars="0" w:left="0" w:right="0"/>
              <w:keepNext/>
            </w:pPr>
            <w:r>
              <w:t>2.920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v/banche per mutui</w:t>
            </w:r>
          </w:p>
        </w:tc>
        <w:tc>
          <w:tcPr>
            <w:cnfStyle w:evenVBand="true" w:oddVBand="false" w:firstColumn="false"/>
            <w:tcW w:w="11.434303%" w:type="pct"/>
          </w:tcPr>
          <w:p>
            <w:pPr>
              <w:pStyle w:val="table-level-0"/>
              <w:ind w:leftChars="0" w:left="0" w:right="0"/>
              <w:keepNext/>
            </w:pPr>
            <w:r>
              <w:t>3.800</w:t>
            </w:r>
          </w:p>
        </w:tc>
        <w:tc>
          <w:tcPr>
            <w:cnfStyle w:evenVBand="false" w:oddVBand="true" w:firstColumn="false"/>
            <w:tcW w:w="11.434303%" w:type="pct"/>
          </w:tcPr>
          <w:p>
            <w:pPr>
              <w:pStyle w:val="table-level-0"/>
              <w:ind w:leftChars="0" w:left="0" w:right="0"/>
              <w:keepNext/>
            </w:pPr>
            <w:r>
              <w:t>2.700</w:t>
            </w:r>
          </w:p>
        </w:tc>
        <w:tc>
          <w:tcPr>
            <w:cnfStyle w:evenVBand="true" w:oddVBand="false" w:firstColumn="false"/>
            <w:tcW w:w="11.434303%" w:type="pct"/>
          </w:tcPr>
          <w:p>
            <w:pPr>
              <w:pStyle w:val="table-level-0"/>
              <w:ind w:leftChars="0" w:left="0" w:right="0"/>
              <w:keepNext/>
            </w:pPr>
            <w:r>
              <w:t>2.500</w:t>
            </w:r>
          </w:p>
        </w:tc>
        <w:tc>
          <w:tcPr>
            <w:cnfStyle w:evenVBand="false" w:oddVBand="true" w:firstColumn="false"/>
            <w:tcW w:w="11.434303%" w:type="pct"/>
          </w:tcPr>
          <w:p>
            <w:pPr>
              <w:pStyle w:val="table-level-0"/>
              <w:ind w:leftChars="0" w:left="0" w:right="0"/>
              <w:keepNext/>
            </w:pPr>
            <w:r>
              <w:t>2.400</w:t>
            </w:r>
          </w:p>
        </w:tc>
        <w:tc>
          <w:tcPr>
            <w:cnfStyle w:evenVBand="true" w:oddVBand="false" w:firstColumn="false"/>
            <w:tcW w:w="11.434303%" w:type="pct"/>
          </w:tcPr>
          <w:p>
            <w:pPr>
              <w:pStyle w:val="table-level-0"/>
              <w:ind w:leftChars="0" w:left="0" w:right="0"/>
              <w:keepNext/>
            </w:pPr>
            <w:r>
              <w:t>2.360</w:t>
            </w:r>
          </w:p>
        </w:tc>
        <w:tc>
          <w:tcPr>
            <w:cnfStyle w:evenVBand="false" w:oddVBand="true" w:firstColumn="false"/>
            <w:tcW w:w="11.434303%" w:type="pct"/>
          </w:tcPr>
          <w:p>
            <w:pPr>
              <w:pStyle w:val="table-level-0"/>
              <w:ind w:leftChars="0" w:left="0" w:right="0"/>
              <w:keepNext/>
            </w:pPr>
            <w:r>
              <w:t>2.320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debiti v/banche a breve</w:t>
            </w:r>
          </w:p>
        </w:tc>
        <w:tc>
          <w:tcPr>
            <w:cnfStyle w:evenVBand="true" w:oddVBand="false" w:firstColumn="false"/>
            <w:tcW w:w="11.434303%" w:type="pct"/>
          </w:tcPr>
          <w:p>
            <w:pPr>
              <w:pStyle w:val="table-level-0"/>
              <w:ind w:leftChars="0" w:left="0" w:right="0"/>
              <w:keepNext/>
            </w:pPr>
            <w:r>
              <w:t>750</w:t>
            </w:r>
          </w:p>
        </w:tc>
        <w:tc>
          <w:tcPr>
            <w:cnfStyle w:evenVBand="false" w:oddVBand="true" w:firstColumn="false"/>
            <w:tcW w:w="11.434303%" w:type="pct"/>
          </w:tcPr>
          <w:p>
            <w:pPr>
              <w:pStyle w:val="table-level-0"/>
              <w:ind w:leftChars="0" w:left="0" w:right="0"/>
              <w:keepNext/>
            </w:pPr>
            <w:r>
              <w:t>350</w:t>
            </w:r>
          </w:p>
        </w:tc>
        <w:tc>
          <w:tcPr>
            <w:cnfStyle w:evenVBand="true" w:oddVBand="false" w:firstColumn="false"/>
            <w:tcW w:w="11.434303%" w:type="pct"/>
          </w:tcPr>
          <w:p>
            <w:pPr>
              <w:pStyle w:val="table-level-0"/>
              <w:ind w:leftChars="0" w:left="0" w:right="0"/>
              <w:keepNext/>
            </w:pPr>
            <w:r>
              <w:t>400</w:t>
            </w:r>
          </w:p>
        </w:tc>
        <w:tc>
          <w:tcPr>
            <w:cnfStyle w:evenVBand="false" w:oddVBand="true" w:firstColumn="false"/>
            <w:tcW w:w="11.434303%" w:type="pct"/>
          </w:tcPr>
          <w:p>
            <w:pPr>
              <w:pStyle w:val="table-level-0"/>
              <w:ind w:leftChars="0" w:left="0" w:right="0"/>
              <w:keepNext/>
            </w:pPr>
            <w:r>
              <w:t>600</w:t>
            </w:r>
          </w:p>
        </w:tc>
        <w:tc>
          <w:tcPr>
            <w:cnfStyle w:evenVBand="true" w:oddVBand="false" w:firstColumn="false"/>
            <w:tcW w:w="11.434303%" w:type="pct"/>
          </w:tcPr>
          <w:p>
            <w:pPr>
              <w:pStyle w:val="table-level-0"/>
              <w:ind w:leftChars="0" w:left="0" w:right="0"/>
              <w:keepNext/>
            </w:pPr>
            <w:r>
              <w:t>605</w:t>
            </w:r>
          </w:p>
        </w:tc>
        <w:tc>
          <w:tcPr>
            <w:cnfStyle w:evenVBand="false" w:oddVBand="true" w:firstColumn="false"/>
            <w:tcW w:w="11.434303%" w:type="pct"/>
          </w:tcPr>
          <w:p>
            <w:pPr>
              <w:pStyle w:val="table-level-0"/>
              <w:ind w:leftChars="0" w:left="0" w:right="0"/>
              <w:keepNext/>
            </w:pPr>
            <w:r>
              <w:t>565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v/banche anticipi crediti</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35</w:t>
            </w:r>
          </w:p>
        </w:tc>
      </w:tr>
    </w:tbl>
    <w:p>
      <w:pPr>
        <w:pStyle w:val="TableBottomMargin"/>
      </w:pPr>
    </w:p>
    <w:p>
      <w:pPr>
        <w:pStyle w:val="BodyText"/>
        <w:ind w:leftChars="0" w:left="0" w:right="0"/>
      </w:pPr>
      <w:r>
        <w:t xml:space="preserve">Dal prospetto si evince che al 31 dicembre 2022 il valore della voce </w:t>
      </w:r>
      <w:r>
        <w:rPr>
          <w:i/>
          <w:iCs/>
        </w:rPr>
        <w:t>Debiti verso banche</w:t>
      </w:r>
      <w:r>
        <w:t xml:space="preserve"> è pari a € 4.575.000 ed è in crescita del 45% rispetto al 31 dicembre 2021.</w:t>
      </w:r>
    </w:p>
    <w:p>
      <w:pPr>
        <w:pStyle w:val="BodyText"/>
        <w:ind w:leftChars="0" w:left="0" w:right="0"/>
      </w:pPr>
      <w:r>
        <w:t xml:space="preserve">Il grafico seguente mostra l’analisi dell’andamento della voce </w:t>
      </w:r>
      <w:r>
        <w:rPr>
          <w:i/>
          <w:iCs/>
        </w:rPr>
        <w:t>Debiti verso banche</w:t>
      </w:r>
      <w:r>
        <w:t xml:space="preserve"> dal 31 dicembre 2017 al 31 dicembre 2022. Tale valore risulta in crescita del 57%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8" name="284b009848d58f5d943c30b4bc4b53d1.png" descr="_static/temp/284b009848d58f5d943c30b4bc4b53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84b009848d58f5d943c30b4bc4b53d1.png" descr="_static/temp/284b009848d58f5d943c30b4bc4b53d1.png"/>
                    <pic:cNvPicPr>
                      <a:picLocks noChangeAspect="1" noChangeArrowheads="1"/>
                    </pic:cNvPicPr>
                  </pic:nvPicPr>
                  <pic:blipFill>
                    <a:blip xmlns:r="http://schemas.openxmlformats.org/officeDocument/2006/relationships" r:embed="rId7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Debiti verso banche</w:t>
      </w:r>
      <w:r>
        <w:t xml:space="preserve"> al 31 dicembre 2022, la componente più significativa è rappresentata dalla voce </w:t>
      </w:r>
      <w:r>
        <w:rPr>
          <w:i/>
          <w:iCs/>
        </w:rPr>
        <w:t>Debiti verso banche per mutui</w:t>
      </w:r>
      <w:r>
        <w:t xml:space="preserve"> con un valore pari a 3.800.000 €. Il grafico seguente visualizza la ripartizione di tutte le componenti della voce </w:t>
      </w:r>
      <w:r>
        <w:rPr>
          <w:i/>
          <w:iCs/>
        </w:rPr>
        <w:t>Debiti verso banche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49" name="fd55c0e4890434f6b52fe2cffbf6c427.png" descr="_static/temp/fd55c0e4890434f6b52fe2cffbf6c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55c0e4890434f6b52fe2cffbf6c427.png" descr="_static/temp/fd55c0e4890434f6b52fe2cffbf6c427.png"/>
                    <pic:cNvPicPr>
                      <a:picLocks noChangeAspect="1" noChangeArrowheads="1"/>
                    </pic:cNvPicPr>
                  </pic:nvPicPr>
                  <pic:blipFill>
                    <a:blip xmlns:r="http://schemas.openxmlformats.org/officeDocument/2006/relationships" r:embed="rId72"/>
                    <a:srcRect/>
                    <a:stretch>
                      <a:fillRect/>
                    </a:stretch>
                  </pic:blipFill>
                  <pic:spPr bwMode="auto">
                    <a:xfrm>
                      <a:off x="0" y="0"/>
                      <a:ext cx="6476365" cy="3266766"/>
                    </a:xfrm>
                    <a:prstGeom prst="rect">
                      <a:avLst/>
                    </a:prstGeom>
                    <a:noFill/>
                  </pic:spPr>
                </pic:pic>
              </a:graphicData>
            </a:graphic>
          </wp:inline>
        </w:drawing>
      </w:r>
    </w:p>
    <w:bookmarkEnd w:id="527"/>
    <w:bookmarkEnd w:id="528"/>
    <w:bookmarkStart w:id="529" w:name="_3f2cf812894dbf5d25a5b8c2ef825160"/>
    <w:bookmarkStart w:id="530" w:name="_7ca5f6641fe81ec8c8f8198664848aad"/>
    <w:p>
      <w:pPr>
        <w:pStyle w:val="Heading5"/>
        <w:keepNext/>
      </w:pPr>
      <w:r>
        <w:t>Debiti finanziari v/altri</w:t>
      </w:r>
    </w:p>
    <w:p>
      <w:pPr>
        <w:pStyle w:val="BodyText"/>
        <w:ind w:leftChars="0" w:left="0" w:right="0"/>
      </w:pPr>
      <w:r>
        <w:t xml:space="preserve">La presente sottosezione dei </w:t>
      </w:r>
      <w:hyperlink w:anchor="_6ac2ed6b09d8b3f425f3dfe54fa5f06d">
        <w:r>
          <w:rPr>
            <w:rStyle w:val="Hyperlink"/>
          </w:rPr>
          <w:t>Debiti finanziari</w:t>
        </w:r>
      </w:hyperlink>
      <w:r>
        <w:t xml:space="preserve"> è dedicata agli altri debiti finanziari. Questi rappresentano debiti contratti con finanziatori diversi da obbligazionisti, soci, enti creditizi, imprese consociate. Comprendono: prestiti da terzi non istituti di credito, prestiti da società finanziarie, polizze di credito commerciale.</w:t>
      </w:r>
    </w:p>
    <w:p>
      <w:pPr>
        <w:pStyle w:val="BodyText"/>
        <w:ind w:leftChars="0" w:left="0" w:right="0"/>
      </w:pPr>
      <w:r>
        <w:t xml:space="preserve">Il prospetto seguente illustra il dettaglio analitico della voce </w:t>
      </w:r>
      <w:r>
        <w:rPr>
          <w:i/>
          <w:iCs/>
        </w:rPr>
        <w:t>Debiti finanziari v/altri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ca5f6641fe81ec8c8f8198664848aad">
              <w:r>
                <w:rPr>
                  <w:rStyle w:val="Hyperlink"/>
                </w:rPr>
                <w:t>Debiti finanziari v/altri</w:t>
              </w:r>
            </w:hyperlink>
          </w:p>
        </w:tc>
        <w:tc>
          <w:tcPr>
            <w:cnfStyle w:evenVBand="true" w:oddVBand="false" w:firstColumn="false"/>
            <w:tcW w:w="11.434303%" w:type="pct"/>
          </w:tcPr>
          <w:p>
            <w:pPr>
              <w:pStyle w:val="table-level-1"/>
              <w:ind w:leftChars="0" w:left="0" w:right="0"/>
              <w:keepNext/>
            </w:pPr>
            <w:r>
              <w:t>75</w:t>
            </w:r>
          </w:p>
        </w:tc>
        <w:tc>
          <w:tcPr>
            <w:cnfStyle w:evenVBand="false" w:oddVBand="true" w:firstColumn="false"/>
            <w:tcW w:w="11.434303%" w:type="pct"/>
          </w:tcPr>
          <w:p>
            <w:pPr>
              <w:pStyle w:val="table-level-1"/>
              <w:ind w:leftChars="0" w:left="0" w:right="0"/>
              <w:keepNext/>
            </w:pPr>
            <w:r>
              <w:t>70</w:t>
            </w:r>
          </w:p>
        </w:tc>
        <w:tc>
          <w:tcPr>
            <w:cnfStyle w:evenVBand="true" w:oddVBand="false" w:firstColumn="false"/>
            <w:tcW w:w="11.434303%" w:type="pct"/>
          </w:tcPr>
          <w:p>
            <w:pPr>
              <w:pStyle w:val="table-level-1"/>
              <w:ind w:leftChars="0" w:left="0" w:right="0"/>
              <w:keepNext/>
            </w:pPr>
            <w:r>
              <w:t>65</w:t>
            </w:r>
          </w:p>
        </w:tc>
        <w:tc>
          <w:tcPr>
            <w:cnfStyle w:evenVBand="false" w:oddVBand="true" w:firstColumn="false"/>
            <w:tcW w:w="11.434303%" w:type="pct"/>
          </w:tcPr>
          <w:p>
            <w:pPr>
              <w:pStyle w:val="table-level-1"/>
              <w:ind w:leftChars="0" w:left="0" w:right="0"/>
              <w:keepNext/>
            </w:pPr>
            <w:r>
              <w:t>55</w:t>
            </w:r>
          </w:p>
        </w:tc>
        <w:tc>
          <w:tcPr>
            <w:cnfStyle w:evenVBand="true" w:oddVBand="false" w:firstColumn="false"/>
            <w:tcW w:w="11.434303%" w:type="pct"/>
          </w:tcPr>
          <w:p>
            <w:pPr>
              <w:pStyle w:val="table-level-1"/>
              <w:ind w:leftChars="0" w:left="0" w:right="0"/>
              <w:keepNext/>
            </w:pPr>
            <w:r>
              <w:t>55,8</w:t>
            </w:r>
          </w:p>
        </w:tc>
        <w:tc>
          <w:tcPr>
            <w:cnfStyle w:evenVBand="false" w:oddVBand="true" w:firstColumn="false"/>
            <w:tcW w:w="11.434303%" w:type="pct"/>
          </w:tcPr>
          <w:p>
            <w:pPr>
              <w:pStyle w:val="table-level-1"/>
              <w:ind w:leftChars="0" w:left="0" w:right="0"/>
              <w:keepNext/>
            </w:pPr>
            <w:r>
              <w:t>56,6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Debiti finanziari per factoring</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25,4</w:t>
            </w:r>
          </w:p>
        </w:tc>
        <w:tc>
          <w:tcPr>
            <w:cnfStyle w:evenVBand="false" w:oddVBand="true" w:firstColumn="false"/>
            <w:tcW w:w="11.434303%" w:type="pct"/>
          </w:tcPr>
          <w:p>
            <w:pPr>
              <w:pStyle w:val="table-level-0"/>
              <w:ind w:leftChars="0" w:left="0" w:right="0"/>
              <w:keepNext/>
            </w:pPr>
            <w:r>
              <w:t>25,8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debiti finanziari</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30,4</w:t>
            </w:r>
          </w:p>
        </w:tc>
        <w:tc>
          <w:tcPr>
            <w:cnfStyle w:evenVBand="false" w:oddVBand="true" w:firstColumn="false"/>
            <w:tcW w:w="11.434303%" w:type="pct"/>
          </w:tcPr>
          <w:p>
            <w:pPr>
              <w:pStyle w:val="table-level-0"/>
              <w:ind w:leftChars="0" w:left="0" w:right="0"/>
              <w:keepNext/>
            </w:pPr>
            <w:r>
              <w:t>30,8</w:t>
            </w:r>
          </w:p>
        </w:tc>
      </w:tr>
    </w:tbl>
    <w:p>
      <w:pPr>
        <w:pStyle w:val="TableBottomMargin"/>
      </w:pPr>
    </w:p>
    <w:p>
      <w:pPr>
        <w:pStyle w:val="BodyText"/>
        <w:ind w:leftChars="0" w:left="0" w:right="0"/>
      </w:pPr>
      <w:r>
        <w:t xml:space="preserve">Dal prospetto si evince che al 31 dicembre 2022 il valore della voce </w:t>
      </w:r>
      <w:r>
        <w:rPr>
          <w:i/>
          <w:iCs/>
        </w:rPr>
        <w:t>Debiti finanziari v/altri</w:t>
      </w:r>
      <w:r>
        <w:t xml:space="preserve"> è pari a € 75.000 ed è in crescita del 7% rispetto al 31 dicembre 2021.</w:t>
      </w:r>
    </w:p>
    <w:p>
      <w:pPr>
        <w:pStyle w:val="BodyText"/>
        <w:ind w:leftChars="0" w:left="0" w:right="0"/>
      </w:pPr>
      <w:r>
        <w:t xml:space="preserve">Il grafico seguente mostra l’analisi dell’andamento della voce </w:t>
      </w:r>
      <w:r>
        <w:rPr>
          <w:i/>
          <w:iCs/>
        </w:rPr>
        <w:t>Debiti finanziari v/altri</w:t>
      </w:r>
      <w:r>
        <w:t xml:space="preserve"> dal 31 dicembre 2017 al 31 dicembre 2022. Tale valore risulta in crescita del 33%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0" name="411369d59fbc2de73f1aec7472bbec32.png" descr="_static/temp/411369d59fbc2de73f1aec7472bbec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411369d59fbc2de73f1aec7472bbec32.png" descr="_static/temp/411369d59fbc2de73f1aec7472bbec32.png"/>
                    <pic:cNvPicPr>
                      <a:picLocks noChangeAspect="1" noChangeArrowheads="1"/>
                    </pic:cNvPicPr>
                  </pic:nvPicPr>
                  <pic:blipFill>
                    <a:blip xmlns:r="http://schemas.openxmlformats.org/officeDocument/2006/relationships" r:embed="rId7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Debiti finanziari v/altri</w:t>
      </w:r>
      <w:r>
        <w:t xml:space="preserve"> al 31 dicembre 2022, la componente più significativa è rappresentata dalla voce </w:t>
      </w:r>
      <w:r>
        <w:rPr>
          <w:i/>
          <w:iCs/>
        </w:rPr>
        <w:t>Debiti finanziari verso società  di factoring</w:t>
      </w:r>
      <w:r>
        <w:t xml:space="preserve"> con un valore pari a 45.000 €. Il grafico seguente visualizza la ripartizione di tutte le componenti della voce </w:t>
      </w:r>
      <w:r>
        <w:rPr>
          <w:i/>
          <w:iCs/>
        </w:rPr>
        <w:t>Debiti finanziari v/altri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1" name="780b55bc4dfea6f5a2fe65f3a7d83727.png" descr="_static/temp/780b55bc4dfea6f5a2fe65f3a7d83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780b55bc4dfea6f5a2fe65f3a7d83727.png" descr="_static/temp/780b55bc4dfea6f5a2fe65f3a7d83727.png"/>
                    <pic:cNvPicPr>
                      <a:picLocks noChangeAspect="1" noChangeArrowheads="1"/>
                    </pic:cNvPicPr>
                  </pic:nvPicPr>
                  <pic:blipFill>
                    <a:blip xmlns:r="http://schemas.openxmlformats.org/officeDocument/2006/relationships" r:embed="rId74"/>
                    <a:srcRect/>
                    <a:stretch>
                      <a:fillRect/>
                    </a:stretch>
                  </pic:blipFill>
                  <pic:spPr bwMode="auto">
                    <a:xfrm>
                      <a:off x="0" y="0"/>
                      <a:ext cx="6476365" cy="3266766"/>
                    </a:xfrm>
                    <a:prstGeom prst="rect">
                      <a:avLst/>
                    </a:prstGeom>
                    <a:noFill/>
                  </pic:spPr>
                </pic:pic>
              </a:graphicData>
            </a:graphic>
          </wp:inline>
        </w:drawing>
      </w:r>
    </w:p>
    <w:bookmarkEnd w:id="529"/>
    <w:bookmarkEnd w:id="530"/>
    <w:bookmarkEnd w:id="523"/>
    <w:bookmarkEnd w:id="524"/>
    <w:bookmarkStart w:id="531" w:name="_f29f1322106d8ba3a4ea8fa4fa8740f6"/>
    <w:bookmarkStart w:id="532" w:name="_84881c8879e57c1dbfc0e0e1264c6459"/>
    <w:p>
      <w:pPr>
        <w:pStyle w:val="Heading4"/>
        <w:keepNext/>
      </w:pPr>
      <w:r>
        <w:t>Debiti verso soci per finanziamenti infruttiferi</w:t>
      </w:r>
    </w:p>
    <w:p>
      <w:pPr>
        <w:pStyle w:val="BodyText"/>
        <w:ind w:leftChars="0" w:left="0" w:right="0"/>
      </w:pPr>
      <w:r>
        <w:t xml:space="preserve">La presente sottosezione della </w:t>
      </w:r>
      <w:hyperlink w:anchor="_6a73886d862435496ab94f274675da4a">
        <w:r>
          <w:rPr>
            <w:rStyle w:val="Hyperlink"/>
          </w:rPr>
          <w:t>Posizione finanziaria netta</w:t>
        </w:r>
      </w:hyperlink>
      <w:r>
        <w:t xml:space="preserve"> è dedicata ai debiti verso soci per finanziamenti infruttiferi. Questi rappresentano finanziamenti concessi dai soci sotto qualsiasi forma e con obbligo di restituzione, ma caratterizzati dall’assenza di interessi passivi.</w:t>
      </w:r>
    </w:p>
    <w:p>
      <w:pPr>
        <w:pStyle w:val="BodyText"/>
        <w:ind w:leftChars="0" w:left="0" w:right="0"/>
      </w:pPr>
      <w:r>
        <w:t xml:space="preserve">Il prospetto seguente illustra il dettaglio analitico della voce </w:t>
      </w:r>
      <w:r>
        <w:rPr>
          <w:i/>
          <w:iCs/>
        </w:rPr>
        <w:t>Debiti verso soci per finanziamenti infruttiferi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4881c8879e57c1dbfc0e0e1264c6459">
              <w:r>
                <w:rPr>
                  <w:rStyle w:val="Hyperlink"/>
                </w:rPr>
                <w:t>Finanziamenti soci infruttiferi</w:t>
              </w:r>
            </w:hyperlink>
          </w:p>
        </w:tc>
        <w:tc>
          <w:tcPr>
            <w:cnfStyle w:evenVBand="true" w:oddVBand="false" w:firstColumn="false"/>
            <w:tcW w:w="11.434303%" w:type="pct"/>
          </w:tcPr>
          <w:p>
            <w:pPr>
              <w:pStyle w:val="table-level-1"/>
              <w:ind w:leftChars="0" w:left="0" w:right="0"/>
              <w:keepNext/>
            </w:pPr>
            <w:r>
              <w:t>70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100</w:t>
            </w:r>
          </w:p>
        </w:tc>
        <w:tc>
          <w:tcPr>
            <w:cnfStyle w:evenVBand="true" w:oddVBand="false" w:firstColumn="false"/>
            <w:tcW w:w="11.434303%" w:type="pct"/>
          </w:tcPr>
          <w:p>
            <w:pPr>
              <w:pStyle w:val="table-level-1"/>
              <w:ind w:leftChars="0" w:left="0" w:right="0"/>
              <w:keepNext/>
            </w:pPr>
            <w:r>
              <w:t>110</w:t>
            </w:r>
          </w:p>
        </w:tc>
        <w:tc>
          <w:tcPr>
            <w:cnfStyle w:evenVBand="false" w:oddVBand="true" w:firstColumn="false"/>
            <w:tcW w:w="11.434303%" w:type="pct"/>
          </w:tcPr>
          <w:p>
            <w:pPr>
              <w:pStyle w:val="table-level-1"/>
              <w:ind w:leftChars="0" w:left="0" w:right="0"/>
              <w:keepNext/>
            </w:pPr>
            <w:r>
              <w:t>120</w:t>
            </w:r>
          </w:p>
        </w:tc>
      </w:tr>
    </w:tbl>
    <w:p>
      <w:pPr>
        <w:pStyle w:val="TableBottomMargin"/>
      </w:pPr>
    </w:p>
    <w:p>
      <w:pPr>
        <w:pStyle w:val="BodyText"/>
        <w:ind w:leftChars="0" w:left="0" w:right="0"/>
      </w:pPr>
      <w:r>
        <w:t xml:space="preserve">Dal prospetto si evince che al 31 dicembre 2022 il valore della voce </w:t>
      </w:r>
      <w:r>
        <w:rPr>
          <w:i/>
          <w:iCs/>
        </w:rPr>
        <w:t>Debiti verso soci per finanziamenti infruttiferi</w:t>
      </w:r>
      <w:r>
        <w:t xml:space="preserve"> è pari a € 70.000 ed è in diminuzione del 12% rispetto al 31 dicembre 2021.</w:t>
      </w:r>
    </w:p>
    <w:p>
      <w:pPr>
        <w:pStyle w:val="BodyText"/>
        <w:ind w:leftChars="0" w:left="0" w:right="0"/>
      </w:pPr>
      <w:r>
        <w:t xml:space="preserve">Il grafico seguente mostra l’analisi dell’andamento della voce </w:t>
      </w:r>
      <w:r>
        <w:rPr>
          <w:i/>
          <w:iCs/>
        </w:rPr>
        <w:t>Debiti verso soci per finanziamenti infruttiferi</w:t>
      </w:r>
      <w:r>
        <w:t xml:space="preserve"> dal 31 dicembre 2017 al 31 dicembre 2022. Tale valore risulta in diminuzione del 42%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2" name="6d1417b369a3f35d9ef13ccc26519d0a.png" descr="_static/temp/6d1417b369a3f35d9ef13ccc26519d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d1417b369a3f35d9ef13ccc26519d0a.png" descr="_static/temp/6d1417b369a3f35d9ef13ccc26519d0a.png"/>
                    <pic:cNvPicPr>
                      <a:picLocks noChangeAspect="1" noChangeArrowheads="1"/>
                    </pic:cNvPicPr>
                  </pic:nvPicPr>
                  <pic:blipFill>
                    <a:blip xmlns:r="http://schemas.openxmlformats.org/officeDocument/2006/relationships" r:embed="rId75"/>
                    <a:srcRect/>
                    <a:stretch>
                      <a:fillRect/>
                    </a:stretch>
                  </pic:blipFill>
                  <pic:spPr bwMode="auto">
                    <a:xfrm>
                      <a:off x="0" y="0"/>
                      <a:ext cx="6476365" cy="3266766"/>
                    </a:xfrm>
                    <a:prstGeom prst="rect">
                      <a:avLst/>
                    </a:prstGeom>
                    <a:noFill/>
                  </pic:spPr>
                </pic:pic>
              </a:graphicData>
            </a:graphic>
          </wp:inline>
        </w:drawing>
      </w:r>
    </w:p>
    <w:bookmarkEnd w:id="531"/>
    <w:bookmarkEnd w:id="532"/>
    <w:bookmarkStart w:id="533" w:name="_3c33259345bb29138f9014feca56bb4e"/>
    <w:bookmarkStart w:id="534" w:name="_320109696b1aea37c68fc603920a1c07"/>
    <w:p>
      <w:pPr>
        <w:pStyle w:val="Heading4"/>
        <w:keepNext/>
      </w:pPr>
      <w:r>
        <w:t>Attivo finanziario corrente</w:t>
      </w:r>
    </w:p>
    <w:p>
      <w:pPr>
        <w:pStyle w:val="BodyText"/>
        <w:ind w:leftChars="0" w:left="0" w:right="0"/>
      </w:pPr>
      <w:r>
        <w:t xml:space="preserve">La presente sottosezione della </w:t>
      </w:r>
      <w:hyperlink w:anchor="_6a73886d862435496ab94f274675da4a">
        <w:r>
          <w:rPr>
            <w:rStyle w:val="Hyperlink"/>
          </w:rPr>
          <w:t>Posizione finanziaria netta</w:t>
        </w:r>
      </w:hyperlink>
      <w:r>
        <w:t xml:space="preserve"> è dedicata all’attivo finanziario corrente. Questo è rappresentato da attività finanziarie che manifestano l’attitudine ad essere liquidate nel breve termine o in un arco temporale inferiore a 12 mesi.</w:t>
      </w:r>
    </w:p>
    <w:p>
      <w:pPr>
        <w:pStyle w:val="BodyText"/>
        <w:ind w:leftChars="0" w:left="0" w:right="0"/>
      </w:pPr>
      <w:r>
        <w:t xml:space="preserve">Il prospetto seguente illustra il dettaglio analitico della voce </w:t>
      </w:r>
      <w:r>
        <w:rPr>
          <w:i/>
          <w:iCs/>
        </w:rPr>
        <w:t>Attivo finanziario corrente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20109696b1aea37c68fc603920a1c07">
              <w:r>
                <w:rPr>
                  <w:rStyle w:val="Hyperlink"/>
                </w:rPr>
                <w:t>Attivo finanziario corrente</w:t>
              </w:r>
            </w:hyperlink>
          </w:p>
        </w:tc>
        <w:tc>
          <w:tcPr>
            <w:cnfStyle w:evenVBand="true" w:oddVBand="false" w:firstColumn="false"/>
            <w:tcW w:w="11.434303%" w:type="pct"/>
          </w:tcPr>
          <w:p>
            <w:pPr>
              <w:pStyle w:val="table-level-1"/>
              <w:ind w:leftChars="0" w:left="0" w:right="0"/>
              <w:keepNext/>
            </w:pPr>
            <w:r>
              <w:t>1.442</w:t>
            </w:r>
          </w:p>
        </w:tc>
        <w:tc>
          <w:tcPr>
            <w:cnfStyle w:evenVBand="false" w:oddVBand="true" w:firstColumn="false"/>
            <w:tcW w:w="11.434303%" w:type="pct"/>
          </w:tcPr>
          <w:p>
            <w:pPr>
              <w:pStyle w:val="table-level-1"/>
              <w:ind w:leftChars="0" w:left="0" w:right="0"/>
              <w:keepNext/>
            </w:pPr>
            <w:r>
              <w:t>270</w:t>
            </w:r>
          </w:p>
        </w:tc>
        <w:tc>
          <w:tcPr>
            <w:cnfStyle w:evenVBand="true" w:oddVBand="false" w:firstColumn="false"/>
            <w:tcW w:w="11.434303%" w:type="pct"/>
          </w:tcPr>
          <w:p>
            <w:pPr>
              <w:pStyle w:val="table-level-1"/>
              <w:ind w:leftChars="0" w:left="0" w:right="0"/>
              <w:keepNext/>
            </w:pPr>
            <w:r>
              <w:t>481,4</w:t>
            </w:r>
          </w:p>
        </w:tc>
        <w:tc>
          <w:tcPr>
            <w:cnfStyle w:evenVBand="false" w:oddVBand="true" w:firstColumn="false"/>
            <w:tcW w:w="11.434303%" w:type="pct"/>
          </w:tcPr>
          <w:p>
            <w:pPr>
              <w:pStyle w:val="table-level-1"/>
              <w:ind w:leftChars="0" w:left="0" w:right="0"/>
              <w:keepNext/>
            </w:pPr>
            <w:r>
              <w:t>529,8</w:t>
            </w:r>
          </w:p>
        </w:tc>
        <w:tc>
          <w:tcPr>
            <w:cnfStyle w:evenVBand="true" w:oddVBand="false" w:firstColumn="false"/>
            <w:tcW w:w="11.434303%" w:type="pct"/>
          </w:tcPr>
          <w:p>
            <w:pPr>
              <w:pStyle w:val="table-level-1"/>
              <w:ind w:leftChars="0" w:left="0" w:right="0"/>
              <w:keepNext/>
            </w:pPr>
            <w:r>
              <w:t>717,7</w:t>
            </w:r>
          </w:p>
        </w:tc>
        <w:tc>
          <w:tcPr>
            <w:cnfStyle w:evenVBand="false" w:oddVBand="true" w:firstColumn="false"/>
            <w:tcW w:w="11.434303%" w:type="pct"/>
          </w:tcPr>
          <w:p>
            <w:pPr>
              <w:pStyle w:val="table-level-1"/>
              <w:ind w:leftChars="0" w:left="0" w:right="0"/>
              <w:keepNext/>
            </w:pPr>
            <w:r>
              <w:t>1.067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46af2b6171a2d7673e59b5fd1b746344">
              <w:r>
                <w:rPr>
                  <w:rStyle w:val="Hyperlink"/>
                </w:rPr>
                <w:t>Att. finanz. non immobilizzate</w:t>
              </w:r>
            </w:hyperlink>
          </w:p>
        </w:tc>
        <w:tc>
          <w:tcPr>
            <w:cnfStyle w:evenVBand="true" w:oddVBand="false" w:firstColumn="false"/>
            <w:tcW w:w="11.434303%" w:type="pct"/>
          </w:tcPr>
          <w:p>
            <w:pPr>
              <w:pStyle w:val="table-level-0"/>
              <w:ind w:leftChars="0" w:left="0" w:right="0"/>
              <w:keepNext/>
            </w:pPr>
            <w:r>
              <w:t>2,75</w:t>
            </w:r>
          </w:p>
        </w:tc>
        <w:tc>
          <w:tcPr>
            <w:cnfStyle w:evenVBand="false" w:oddVBand="true" w:firstColumn="false"/>
            <w:tcW w:w="11.434303%" w:type="pct"/>
          </w:tcPr>
          <w:p>
            <w:pPr>
              <w:pStyle w:val="table-level-0"/>
              <w:ind w:leftChars="0" w:left="0" w:right="0"/>
              <w:keepNext/>
            </w:pPr>
            <w:r>
              <w:t>2,55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5296e0879f0a7b859fdf2193a9d7f5f7">
              <w:r>
                <w:rPr>
                  <w:rStyle w:val="Hyperlink"/>
                </w:rPr>
                <w:t>Disponibilità liquide</w:t>
              </w:r>
            </w:hyperlink>
          </w:p>
        </w:tc>
        <w:tc>
          <w:tcPr>
            <w:cnfStyle w:evenVBand="true" w:oddVBand="false" w:firstColumn="false"/>
            <w:tcW w:w="11.434303%" w:type="pct"/>
          </w:tcPr>
          <w:p>
            <w:pPr>
              <w:pStyle w:val="table-level-0"/>
              <w:ind w:leftChars="0" w:left="0" w:right="0"/>
              <w:keepNext/>
            </w:pPr>
            <w:r>
              <w:t>1.439</w:t>
            </w:r>
          </w:p>
        </w:tc>
        <w:tc>
          <w:tcPr>
            <w:cnfStyle w:evenVBand="false" w:oddVBand="true" w:firstColumn="false"/>
            <w:tcW w:w="11.434303%" w:type="pct"/>
          </w:tcPr>
          <w:p>
            <w:pPr>
              <w:pStyle w:val="table-level-0"/>
              <w:ind w:leftChars="0" w:left="0" w:right="0"/>
              <w:keepNext/>
            </w:pPr>
            <w:r>
              <w:t>267,4</w:t>
            </w:r>
          </w:p>
        </w:tc>
        <w:tc>
          <w:tcPr>
            <w:cnfStyle w:evenVBand="true" w:oddVBand="false" w:firstColumn="false"/>
            <w:tcW w:w="11.434303%" w:type="pct"/>
          </w:tcPr>
          <w:p>
            <w:pPr>
              <w:pStyle w:val="table-level-0"/>
              <w:ind w:leftChars="0" w:left="0" w:right="0"/>
              <w:keepNext/>
            </w:pPr>
            <w:r>
              <w:t>478,9</w:t>
            </w:r>
          </w:p>
        </w:tc>
        <w:tc>
          <w:tcPr>
            <w:cnfStyle w:evenVBand="false" w:oddVBand="true" w:firstColumn="false"/>
            <w:tcW w:w="11.434303%" w:type="pct"/>
          </w:tcPr>
          <w:p>
            <w:pPr>
              <w:pStyle w:val="table-level-0"/>
              <w:ind w:leftChars="0" w:left="0" w:right="0"/>
              <w:keepNext/>
            </w:pPr>
            <w:r>
              <w:t>527,3</w:t>
            </w:r>
          </w:p>
        </w:tc>
        <w:tc>
          <w:tcPr>
            <w:cnfStyle w:evenVBand="true" w:oddVBand="false" w:firstColumn="false"/>
            <w:tcW w:w="11.434303%" w:type="pct"/>
          </w:tcPr>
          <w:p>
            <w:pPr>
              <w:pStyle w:val="table-level-0"/>
              <w:ind w:leftChars="0" w:left="0" w:right="0"/>
              <w:keepNext/>
            </w:pPr>
            <w:r>
              <w:t>716,7</w:t>
            </w:r>
          </w:p>
        </w:tc>
        <w:tc>
          <w:tcPr>
            <w:cnfStyle w:evenVBand="false" w:oddVBand="true" w:firstColumn="false"/>
            <w:tcW w:w="11.434303%" w:type="pct"/>
          </w:tcPr>
          <w:p>
            <w:pPr>
              <w:pStyle w:val="table-level-0"/>
              <w:ind w:leftChars="0" w:left="0" w:right="0"/>
              <w:keepNext/>
            </w:pPr>
            <w:r>
              <w:t>1.059</w:t>
            </w:r>
          </w:p>
        </w:tc>
      </w:tr>
    </w:tbl>
    <w:p>
      <w:pPr>
        <w:pStyle w:val="TableBottomMargin"/>
      </w:pPr>
    </w:p>
    <w:p>
      <w:pPr>
        <w:pStyle w:val="BodyText"/>
        <w:ind w:leftChars="0" w:left="0" w:right="0"/>
      </w:pPr>
      <w:r>
        <w:t xml:space="preserve">Dal prospetto si evince che al 31 dicembre 2022 il valore della voce </w:t>
      </w:r>
      <w:r>
        <w:rPr>
          <w:i/>
          <w:iCs/>
        </w:rPr>
        <w:t>Attivo finanziario corrente</w:t>
      </w:r>
      <w:r>
        <w:t xml:space="preserve"> è pari a € 1.441.833 ed è in crescita del 434% rispetto al 31 dicembre 2021.</w:t>
      </w:r>
    </w:p>
    <w:p>
      <w:pPr>
        <w:pStyle w:val="BodyText"/>
        <w:ind w:leftChars="0" w:left="0" w:right="0"/>
      </w:pPr>
      <w:r>
        <w:t xml:space="preserve">Il grafico seguente mostra l’analisi dell’andamento della voce </w:t>
      </w:r>
      <w:r>
        <w:rPr>
          <w:i/>
          <w:iCs/>
        </w:rPr>
        <w:t>Attivo finanziario corrente</w:t>
      </w:r>
      <w:r>
        <w:t xml:space="preserve"> dal 31 dicembre 2017 al 31 dicembre 2022. Tale valore risulta in crescita del 35%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3" name="97fde077d6d26aec47cb10941f95abe0.png" descr="_static/temp/97fde077d6d26aec47cb10941f95ab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97fde077d6d26aec47cb10941f95abe0.png" descr="_static/temp/97fde077d6d26aec47cb10941f95abe0.png"/>
                    <pic:cNvPicPr>
                      <a:picLocks noChangeAspect="1" noChangeArrowheads="1"/>
                    </pic:cNvPicPr>
                  </pic:nvPicPr>
                  <pic:blipFill>
                    <a:blip xmlns:r="http://schemas.openxmlformats.org/officeDocument/2006/relationships" r:embed="rId7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Attivo finanziario corrente</w:t>
      </w:r>
      <w:r>
        <w:t xml:space="preserve"> al 31 dicembre 2022, la componente più significativa è rappresentata dalla voce </w:t>
      </w:r>
      <w:r>
        <w:rPr>
          <w:i/>
          <w:iCs/>
        </w:rPr>
        <w:t>Disponibilità liquide</w:t>
      </w:r>
      <w:r>
        <w:t xml:space="preserve"> con un valore pari a 1.439.083 €. Il grafico seguente visualizza la ripartizione di tutte le componenti della voce </w:t>
      </w:r>
      <w:r>
        <w:rPr>
          <w:i/>
          <w:iCs/>
        </w:rPr>
        <w:t>Attivo finanziario corrente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4" name="b398aa601b8701649c3044e891fd7255.png" descr="_static/temp/b398aa601b8701649c3044e891fd7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b398aa601b8701649c3044e891fd7255.png" descr="_static/temp/b398aa601b8701649c3044e891fd7255.png"/>
                    <pic:cNvPicPr>
                      <a:picLocks noChangeAspect="1" noChangeArrowheads="1"/>
                    </pic:cNvPicPr>
                  </pic:nvPicPr>
                  <pic:blipFill>
                    <a:blip xmlns:r="http://schemas.openxmlformats.org/officeDocument/2006/relationships" r:embed="rId77"/>
                    <a:srcRect/>
                    <a:stretch>
                      <a:fillRect/>
                    </a:stretch>
                  </pic:blipFill>
                  <pic:spPr bwMode="auto">
                    <a:xfrm>
                      <a:off x="0" y="0"/>
                      <a:ext cx="6476365" cy="3266766"/>
                    </a:xfrm>
                    <a:prstGeom prst="rect">
                      <a:avLst/>
                    </a:prstGeom>
                    <a:noFill/>
                  </pic:spPr>
                </pic:pic>
              </a:graphicData>
            </a:graphic>
          </wp:inline>
        </w:drawing>
      </w:r>
    </w:p>
    <w:bookmarkStart w:id="535" w:name="_82d7db4a7e467123e31d26985e5d428e"/>
    <w:bookmarkStart w:id="536" w:name="_46af2b6171a2d7673e59b5fd1b746344"/>
    <w:p>
      <w:pPr>
        <w:pStyle w:val="Heading5"/>
        <w:keepNext/>
      </w:pPr>
      <w:r>
        <w:t>Attività finanziarie non immobilizzate</w:t>
      </w:r>
    </w:p>
    <w:p>
      <w:pPr>
        <w:pStyle w:val="BodyText"/>
        <w:ind w:leftChars="0" w:left="0" w:right="0"/>
      </w:pPr>
      <w:r>
        <w:t>La presente sottosezione dell'</w:t>
      </w:r>
      <w:hyperlink w:anchor="_320109696b1aea37c68fc603920a1c07">
        <w:r>
          <w:rPr>
            <w:rStyle w:val="Hyperlink"/>
          </w:rPr>
          <w:t>Attivo finanziario corrente</w:t>
        </w:r>
      </w:hyperlink>
      <w:r>
        <w:t xml:space="preserve"> è dedicata alle attività finanziarie non immobilizzate. Queste sono rappresentate da titoli, obbligazioni, partecipazioni e crediti detenuti a fine speculativo.</w:t>
      </w:r>
    </w:p>
    <w:p>
      <w:pPr>
        <w:pStyle w:val="BodyText"/>
        <w:ind w:leftChars="0" w:left="0" w:right="0"/>
      </w:pPr>
      <w:r>
        <w:t xml:space="preserve">Il prospetto seguente illustra il dettaglio analitico della voce </w:t>
      </w:r>
      <w:r>
        <w:rPr>
          <w:i/>
          <w:iCs/>
        </w:rPr>
        <w:t>Attività finanziarie non immobilizzate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6af2b6171a2d7673e59b5fd1b746344">
              <w:r>
                <w:rPr>
                  <w:rStyle w:val="Hyperlink"/>
                </w:rPr>
                <w:t>Att. finanz. non immobilizzate</w:t>
              </w:r>
            </w:hyperlink>
          </w:p>
        </w:tc>
        <w:tc>
          <w:tcPr>
            <w:cnfStyle w:evenVBand="true" w:oddVBand="false" w:firstColumn="false"/>
            <w:tcW w:w="11.434303%" w:type="pct"/>
          </w:tcPr>
          <w:p>
            <w:pPr>
              <w:pStyle w:val="table-level-1"/>
              <w:ind w:leftChars="0" w:left="0" w:right="0"/>
              <w:keepNext/>
            </w:pPr>
            <w:r>
              <w:t>2,75</w:t>
            </w:r>
          </w:p>
        </w:tc>
        <w:tc>
          <w:tcPr>
            <w:cnfStyle w:evenVBand="false" w:oddVBand="true" w:firstColumn="false"/>
            <w:tcW w:w="11.434303%" w:type="pct"/>
          </w:tcPr>
          <w:p>
            <w:pPr>
              <w:pStyle w:val="table-level-1"/>
              <w:ind w:leftChars="0" w:left="0" w:right="0"/>
              <w:keepNext/>
            </w:pPr>
            <w:r>
              <w:t>2,55</w:t>
            </w:r>
          </w:p>
        </w:tc>
        <w:tc>
          <w:tcPr>
            <w:cnfStyle w:evenVBand="true" w:oddVBand="false" w:firstColumn="false"/>
            <w:tcW w:w="11.434303%" w:type="pct"/>
          </w:tcPr>
          <w:p>
            <w:pPr>
              <w:pStyle w:val="table-level-1"/>
              <w:ind w:leftChars="0" w:left="0" w:right="0"/>
              <w:keepNext/>
            </w:pPr>
            <w:r>
              <w:t>2,5</w:t>
            </w:r>
          </w:p>
        </w:tc>
        <w:tc>
          <w:tcPr>
            <w:cnfStyle w:evenVBand="false" w:oddVBand="true" w:firstColumn="false"/>
            <w:tcW w:w="11.434303%" w:type="pct"/>
          </w:tcPr>
          <w:p>
            <w:pPr>
              <w:pStyle w:val="table-level-1"/>
              <w:ind w:leftChars="0" w:left="0" w:right="0"/>
              <w:keepNext/>
            </w:pPr>
            <w:r>
              <w:t>2,5</w:t>
            </w:r>
          </w:p>
        </w:tc>
        <w:tc>
          <w:tcPr>
            <w:cnfStyle w:evenVBand="true" w:oddVBand="false" w:firstColumn="false"/>
            <w:tcW w:w="11.434303%" w:type="pct"/>
          </w:tcPr>
          <w:p>
            <w:pPr>
              <w:pStyle w:val="table-level-1"/>
              <w:ind w:leftChars="0" w:left="0" w:right="0"/>
              <w:keepNext/>
            </w:pPr>
            <w:r>
              <w:t>1</w:t>
            </w:r>
          </w:p>
        </w:tc>
        <w:tc>
          <w:tcPr>
            <w:cnfStyle w:evenVBand="false" w:oddVBand="true" w:firstColumn="false"/>
            <w:tcW w:w="11.434303%" w:type="pct"/>
          </w:tcPr>
          <w:p>
            <w:pPr>
              <w:pStyle w:val="table-level-1"/>
              <w:ind w:leftChars="0" w:left="0" w:right="0"/>
              <w:keepNext/>
            </w:pPr>
            <w:r>
              <w:t>7,5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Att. finanz. non immobilizzate</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Fondo svalutazione</w:t>
            </w:r>
          </w:p>
        </w:tc>
        <w:tc>
          <w:tcPr>
            <w:cnfStyle w:evenVBand="true" w:oddVBand="false" w:firstColumn="false"/>
            <w:tcW w:w="11.434303%" w:type="pct"/>
          </w:tcPr>
          <w:p>
            <w:pPr>
              <w:pStyle w:val="table-level-100"/>
              <w:ind w:leftChars="0" w:left="0" w:right="0"/>
              <w:keepNext/>
            </w:pPr>
            <w:r>
              <w:t>-0,25</w:t>
            </w:r>
          </w:p>
        </w:tc>
        <w:tc>
          <w:tcPr>
            <w:cnfStyle w:evenVBand="false" w:oddVBand="true" w:firstColumn="false"/>
            <w:tcW w:w="11.434303%" w:type="pct"/>
          </w:tcPr>
          <w:p>
            <w:pPr>
              <w:pStyle w:val="table-level-100"/>
              <w:ind w:leftChars="0" w:left="0" w:right="0"/>
              <w:keepNext/>
            </w:pPr>
            <w:r>
              <w:t>-0,25</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c>
          <w:tcPr>
            <w:cnfStyle w:evenVBand="true" w:oddVBand="false" w:firstColumn="false"/>
            <w:tcW w:w="11.434303%" w:type="pct"/>
          </w:tcPr>
          <w:p>
            <w:pPr>
              <w:pStyle w:val="table-level-100"/>
              <w:ind w:leftChars="0" w:left="0" w:right="0"/>
              <w:keepNext/>
            </w:pPr>
            <w:r>
              <w:t>0</w:t>
            </w:r>
          </w:p>
        </w:tc>
        <w:tc>
          <w:tcPr>
            <w:cnfStyle w:evenVBand="false" w:oddVBand="true" w:firstColumn="false"/>
            <w:tcW w:w="11.434303%" w:type="pct"/>
          </w:tcPr>
          <w:p>
            <w:pPr>
              <w:pStyle w:val="table-level-100"/>
              <w:ind w:leftChars="0" w:left="0" w:right="0"/>
              <w:keepNext/>
            </w:pPr>
            <w:r>
              <w:t>0</w:t>
            </w:r>
          </w:p>
        </w:tc>
      </w:tr>
    </w:tbl>
    <w:p>
      <w:pPr>
        <w:pStyle w:val="TableBottomMargin"/>
      </w:pPr>
    </w:p>
    <w:p>
      <w:pPr>
        <w:pStyle w:val="BodyText"/>
        <w:ind w:leftChars="0" w:left="0" w:right="0"/>
      </w:pPr>
      <w:r>
        <w:t xml:space="preserve">Dal prospetto si evince che al 31 dicembre 2022 il valore della voce </w:t>
      </w:r>
      <w:r>
        <w:rPr>
          <w:i/>
          <w:iCs/>
        </w:rPr>
        <w:t>Attività finanziarie non immobilizzate</w:t>
      </w:r>
      <w:r>
        <w:t xml:space="preserve"> è pari a € 2.750 ed è in crescita del 8% rispetto al 31 dicembre 2021.</w:t>
      </w:r>
    </w:p>
    <w:p>
      <w:pPr>
        <w:pStyle w:val="BodyText"/>
        <w:ind w:leftChars="0" w:left="0" w:right="0"/>
      </w:pPr>
      <w:r>
        <w:t xml:space="preserve">Il grafico seguente mostra l’analisi dell’andamento della voce </w:t>
      </w:r>
      <w:r>
        <w:rPr>
          <w:i/>
          <w:iCs/>
        </w:rPr>
        <w:t>Attività finanziarie non immobilizzate</w:t>
      </w:r>
      <w:r>
        <w:t xml:space="preserve"> dal 31 dicembre 2017 al 31 dicembre 2022. Tale valore risulta in diminuzione del 63%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5" name="1e8946b7fc04bcc029d85b71224ef823.png" descr="_static/temp/1e8946b7fc04bcc029d85b71224ef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e8946b7fc04bcc029d85b71224ef823.png" descr="_static/temp/1e8946b7fc04bcc029d85b71224ef823.png"/>
                    <pic:cNvPicPr>
                      <a:picLocks noChangeAspect="1" noChangeArrowheads="1"/>
                    </pic:cNvPicPr>
                  </pic:nvPicPr>
                  <pic:blipFill>
                    <a:blip xmlns:r="http://schemas.openxmlformats.org/officeDocument/2006/relationships" r:embed="rId78"/>
                    <a:srcRect/>
                    <a:stretch>
                      <a:fillRect/>
                    </a:stretch>
                  </pic:blipFill>
                  <pic:spPr bwMode="auto">
                    <a:xfrm>
                      <a:off x="0" y="0"/>
                      <a:ext cx="6476365" cy="3266766"/>
                    </a:xfrm>
                    <a:prstGeom prst="rect">
                      <a:avLst/>
                    </a:prstGeom>
                    <a:noFill/>
                  </pic:spPr>
                </pic:pic>
              </a:graphicData>
            </a:graphic>
          </wp:inline>
        </w:drawing>
      </w:r>
    </w:p>
    <w:bookmarkEnd w:id="535"/>
    <w:bookmarkEnd w:id="536"/>
    <w:bookmarkStart w:id="537" w:name="_f65633d9bab6808b9c76e555a6c0a51b"/>
    <w:bookmarkStart w:id="538" w:name="_5296e0879f0a7b859fdf2193a9d7f5f7"/>
    <w:p>
      <w:pPr>
        <w:pStyle w:val="Heading5"/>
        <w:keepNext/>
      </w:pPr>
      <w:r>
        <w:t>Disponibilità liquide</w:t>
      </w:r>
    </w:p>
    <w:p>
      <w:pPr>
        <w:pStyle w:val="BodyText"/>
        <w:ind w:leftChars="0" w:left="0" w:right="0"/>
      </w:pPr>
      <w:r>
        <w:t>La presente sottosezione dell'</w:t>
      </w:r>
      <w:hyperlink w:anchor="_320109696b1aea37c68fc603920a1c07">
        <w:r>
          <w:rPr>
            <w:rStyle w:val="Hyperlink"/>
          </w:rPr>
          <w:t>Attivo finanziario corrente</w:t>
        </w:r>
      </w:hyperlink>
      <w:r>
        <w:t xml:space="preserve"> è dedicata alle disponibilità liquide. Queste sono rappresentate da depositi bancari e postali attivi, assegni esigibili a vista o denaro e valori (marche da bollo, francobolli, ecc.) esistenti in cassa.</w:t>
      </w:r>
    </w:p>
    <w:p>
      <w:pPr>
        <w:pStyle w:val="BodyText"/>
        <w:ind w:leftChars="0" w:left="0" w:right="0"/>
      </w:pPr>
      <w:r>
        <w:t xml:space="preserve">Il prospetto seguente illustra il dettaglio analitico della voce </w:t>
      </w:r>
      <w:r>
        <w:rPr>
          <w:i/>
          <w:iCs/>
        </w:rPr>
        <w:t>Disponibilità liquide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5296e0879f0a7b859fdf2193a9d7f5f7">
              <w:r>
                <w:rPr>
                  <w:rStyle w:val="Hyperlink"/>
                </w:rPr>
                <w:t>Disponibilità liquide</w:t>
              </w:r>
            </w:hyperlink>
          </w:p>
        </w:tc>
        <w:tc>
          <w:tcPr>
            <w:cnfStyle w:evenVBand="true" w:oddVBand="false" w:firstColumn="false"/>
            <w:tcW w:w="11.434303%" w:type="pct"/>
          </w:tcPr>
          <w:p>
            <w:pPr>
              <w:pStyle w:val="table-level-1"/>
              <w:ind w:leftChars="0" w:left="0" w:right="0"/>
              <w:keepNext/>
            </w:pPr>
            <w:r>
              <w:t>1.439</w:t>
            </w:r>
          </w:p>
        </w:tc>
        <w:tc>
          <w:tcPr>
            <w:cnfStyle w:evenVBand="false" w:oddVBand="true" w:firstColumn="false"/>
            <w:tcW w:w="11.434303%" w:type="pct"/>
          </w:tcPr>
          <w:p>
            <w:pPr>
              <w:pStyle w:val="table-level-1"/>
              <w:ind w:leftChars="0" w:left="0" w:right="0"/>
              <w:keepNext/>
            </w:pPr>
            <w:r>
              <w:t>267,4</w:t>
            </w:r>
          </w:p>
        </w:tc>
        <w:tc>
          <w:tcPr>
            <w:cnfStyle w:evenVBand="true" w:oddVBand="false" w:firstColumn="false"/>
            <w:tcW w:w="11.434303%" w:type="pct"/>
          </w:tcPr>
          <w:p>
            <w:pPr>
              <w:pStyle w:val="table-level-1"/>
              <w:ind w:leftChars="0" w:left="0" w:right="0"/>
              <w:keepNext/>
            </w:pPr>
            <w:r>
              <w:t>478,9</w:t>
            </w:r>
          </w:p>
        </w:tc>
        <w:tc>
          <w:tcPr>
            <w:cnfStyle w:evenVBand="false" w:oddVBand="true" w:firstColumn="false"/>
            <w:tcW w:w="11.434303%" w:type="pct"/>
          </w:tcPr>
          <w:p>
            <w:pPr>
              <w:pStyle w:val="table-level-1"/>
              <w:ind w:leftChars="0" w:left="0" w:right="0"/>
              <w:keepNext/>
            </w:pPr>
            <w:r>
              <w:t>527,3</w:t>
            </w:r>
          </w:p>
        </w:tc>
        <w:tc>
          <w:tcPr>
            <w:cnfStyle w:evenVBand="true" w:oddVBand="false" w:firstColumn="false"/>
            <w:tcW w:w="11.434303%" w:type="pct"/>
          </w:tcPr>
          <w:p>
            <w:pPr>
              <w:pStyle w:val="table-level-1"/>
              <w:ind w:leftChars="0" w:left="0" w:right="0"/>
              <w:keepNext/>
            </w:pPr>
            <w:r>
              <w:t>716,7</w:t>
            </w:r>
          </w:p>
        </w:tc>
        <w:tc>
          <w:tcPr>
            <w:cnfStyle w:evenVBand="false" w:oddVBand="true" w:firstColumn="false"/>
            <w:tcW w:w="11.434303%" w:type="pct"/>
          </w:tcPr>
          <w:p>
            <w:pPr>
              <w:pStyle w:val="table-level-1"/>
              <w:ind w:leftChars="0" w:left="0" w:right="0"/>
              <w:keepNext/>
            </w:pPr>
            <w:r>
              <w:t>1.059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Depositi bancari e postali</w:t>
            </w:r>
          </w:p>
        </w:tc>
        <w:tc>
          <w:tcPr>
            <w:cnfStyle w:evenVBand="true" w:oddVBand="false" w:firstColumn="false"/>
            <w:tcW w:w="11.434303%" w:type="pct"/>
          </w:tcPr>
          <w:p>
            <w:pPr>
              <w:pStyle w:val="table-level-0"/>
              <w:ind w:leftChars="0" w:left="0" w:right="0"/>
              <w:keepNext/>
            </w:pPr>
            <w:r>
              <w:t>1.410</w:t>
            </w:r>
          </w:p>
        </w:tc>
        <w:tc>
          <w:tcPr>
            <w:cnfStyle w:evenVBand="false" w:oddVBand="true" w:firstColumn="false"/>
            <w:tcW w:w="11.434303%" w:type="pct"/>
          </w:tcPr>
          <w:p>
            <w:pPr>
              <w:pStyle w:val="table-level-0"/>
              <w:ind w:leftChars="0" w:left="0" w:right="0"/>
              <w:keepNext/>
            </w:pPr>
            <w:r>
              <w:t>235</w:t>
            </w:r>
          </w:p>
        </w:tc>
        <w:tc>
          <w:tcPr>
            <w:cnfStyle w:evenVBand="true" w:oddVBand="false" w:firstColumn="false"/>
            <w:tcW w:w="11.434303%" w:type="pct"/>
          </w:tcPr>
          <w:p>
            <w:pPr>
              <w:pStyle w:val="table-level-0"/>
              <w:ind w:leftChars="0" w:left="0" w:right="0"/>
              <w:keepNext/>
            </w:pPr>
            <w:r>
              <w:t>470</w:t>
            </w:r>
          </w:p>
        </w:tc>
        <w:tc>
          <w:tcPr>
            <w:cnfStyle w:evenVBand="false" w:oddVBand="true" w:firstColumn="false"/>
            <w:tcW w:w="11.434303%" w:type="pct"/>
          </w:tcPr>
          <w:p>
            <w:pPr>
              <w:pStyle w:val="table-level-0"/>
              <w:ind w:leftChars="0" w:left="0" w:right="0"/>
              <w:keepNext/>
            </w:pPr>
            <w:r>
              <w:t>510</w:t>
            </w:r>
          </w:p>
        </w:tc>
        <w:tc>
          <w:tcPr>
            <w:cnfStyle w:evenVBand="true" w:oddVBand="false" w:firstColumn="false"/>
            <w:tcW w:w="11.434303%" w:type="pct"/>
          </w:tcPr>
          <w:p>
            <w:pPr>
              <w:pStyle w:val="table-level-0"/>
              <w:ind w:leftChars="0" w:left="0" w:right="0"/>
              <w:keepNext/>
            </w:pPr>
            <w:r>
              <w:t>700</w:t>
            </w:r>
          </w:p>
        </w:tc>
        <w:tc>
          <w:tcPr>
            <w:cnfStyle w:evenVBand="false" w:oddVBand="true" w:firstColumn="false"/>
            <w:tcW w:w="11.434303%" w:type="pct"/>
          </w:tcPr>
          <w:p>
            <w:pPr>
              <w:pStyle w:val="table-level-0"/>
              <w:ind w:leftChars="0" w:left="0" w:right="0"/>
              <w:keepNext/>
            </w:pPr>
            <w:r>
              <w:t>1.050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Denaro e valori in cassa</w:t>
            </w:r>
          </w:p>
        </w:tc>
        <w:tc>
          <w:tcPr>
            <w:cnfStyle w:evenVBand="true" w:oddVBand="false" w:firstColumn="false"/>
            <w:tcW w:w="11.434303%" w:type="pct"/>
          </w:tcPr>
          <w:p>
            <w:pPr>
              <w:pStyle w:val="table-level-0"/>
              <w:ind w:leftChars="0" w:left="0" w:right="0"/>
              <w:keepNext/>
            </w:pPr>
            <w:r>
              <w:t>29,1</w:t>
            </w:r>
          </w:p>
        </w:tc>
        <w:tc>
          <w:tcPr>
            <w:cnfStyle w:evenVBand="false" w:oddVBand="true" w:firstColumn="false"/>
            <w:tcW w:w="11.434303%" w:type="pct"/>
          </w:tcPr>
          <w:p>
            <w:pPr>
              <w:pStyle w:val="table-level-0"/>
              <w:ind w:leftChars="0" w:left="0" w:right="0"/>
              <w:keepNext/>
            </w:pPr>
            <w:r>
              <w:t>32,4</w:t>
            </w:r>
          </w:p>
        </w:tc>
        <w:tc>
          <w:tcPr>
            <w:cnfStyle w:evenVBand="true" w:oddVBand="false" w:firstColumn="false"/>
            <w:tcW w:w="11.434303%" w:type="pct"/>
          </w:tcPr>
          <w:p>
            <w:pPr>
              <w:pStyle w:val="table-level-0"/>
              <w:ind w:leftChars="0" w:left="0" w:right="0"/>
              <w:keepNext/>
            </w:pPr>
            <w:r>
              <w:t>8,93</w:t>
            </w:r>
          </w:p>
        </w:tc>
        <w:tc>
          <w:tcPr>
            <w:cnfStyle w:evenVBand="false" w:oddVBand="true" w:firstColumn="false"/>
            <w:tcW w:w="11.434303%" w:type="pct"/>
          </w:tcPr>
          <w:p>
            <w:pPr>
              <w:pStyle w:val="table-level-0"/>
              <w:ind w:leftChars="0" w:left="0" w:right="0"/>
              <w:keepNext/>
            </w:pPr>
            <w:r>
              <w:t>17,3</w:t>
            </w:r>
          </w:p>
        </w:tc>
        <w:tc>
          <w:tcPr>
            <w:cnfStyle w:evenVBand="true" w:oddVBand="false" w:firstColumn="false"/>
            <w:tcW w:w="11.434303%" w:type="pct"/>
          </w:tcPr>
          <w:p>
            <w:pPr>
              <w:pStyle w:val="table-level-0"/>
              <w:ind w:leftChars="0" w:left="0" w:right="0"/>
              <w:keepNext/>
            </w:pPr>
            <w:r>
              <w:t>16,7</w:t>
            </w:r>
          </w:p>
        </w:tc>
        <w:tc>
          <w:tcPr>
            <w:cnfStyle w:evenVBand="false" w:oddVBand="true" w:firstColumn="false"/>
            <w:tcW w:w="11.434303%" w:type="pct"/>
          </w:tcPr>
          <w:p>
            <w:pPr>
              <w:pStyle w:val="table-level-0"/>
              <w:ind w:leftChars="0" w:left="0" w:right="0"/>
              <w:keepNext/>
            </w:pPr>
            <w:r>
              <w:t>9,32</w:t>
            </w:r>
          </w:p>
        </w:tc>
      </w:tr>
    </w:tbl>
    <w:p>
      <w:pPr>
        <w:pStyle w:val="TableBottomMargin"/>
      </w:pPr>
    </w:p>
    <w:p>
      <w:pPr>
        <w:pStyle w:val="BodyText"/>
        <w:ind w:leftChars="0" w:left="0" w:right="0"/>
      </w:pPr>
      <w:r>
        <w:t xml:space="preserve">Dal prospetto si evince che al 31 dicembre 2022 il valore della voce </w:t>
      </w:r>
      <w:r>
        <w:rPr>
          <w:i/>
          <w:iCs/>
        </w:rPr>
        <w:t>Disponibilità liquide</w:t>
      </w:r>
      <w:r>
        <w:t xml:space="preserve"> è pari a € 1.439.083 ed è in crescita del 438% rispetto al 31 dicembre 2021.</w:t>
      </w:r>
    </w:p>
    <w:p>
      <w:pPr>
        <w:pStyle w:val="BodyText"/>
        <w:ind w:leftChars="0" w:left="0" w:right="0"/>
      </w:pPr>
      <w:r>
        <w:t xml:space="preserve">Il grafico seguente mostra l’analisi dell’andamento della voce </w:t>
      </w:r>
      <w:r>
        <w:rPr>
          <w:i/>
          <w:iCs/>
        </w:rPr>
        <w:t>Disponibilità liquide</w:t>
      </w:r>
      <w:r>
        <w:t xml:space="preserve"> dal 31 dicembre 2017 al 31 dicembre 2022. Tale valore risulta in crescita del 36%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6" name="d1a90a67a61c0ccb7244644ae3b5c89a.png" descr="_static/temp/d1a90a67a61c0ccb7244644ae3b5c8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1a90a67a61c0ccb7244644ae3b5c89a.png" descr="_static/temp/d1a90a67a61c0ccb7244644ae3b5c89a.png"/>
                    <pic:cNvPicPr>
                      <a:picLocks noChangeAspect="1" noChangeArrowheads="1"/>
                    </pic:cNvPicPr>
                  </pic:nvPicPr>
                  <pic:blipFill>
                    <a:blip xmlns:r="http://schemas.openxmlformats.org/officeDocument/2006/relationships" r:embed="rId7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Disponibilità liquide</w:t>
      </w:r>
      <w:r>
        <w:t xml:space="preserve"> al 31 dicembre 2022, la componente più significativa è rappresentata dalla voce </w:t>
      </w:r>
      <w:r>
        <w:rPr>
          <w:i/>
          <w:iCs/>
        </w:rPr>
        <w:t>Depositi bancari e postali</w:t>
      </w:r>
      <w:r>
        <w:t xml:space="preserve"> con un valore pari a 1.410.000 €. Il grafico seguente visualizza la ripartizione di tutte le componenti della voce </w:t>
      </w:r>
      <w:r>
        <w:rPr>
          <w:i/>
          <w:iCs/>
        </w:rPr>
        <w:t>Disponibilità liquide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7" name="3dc99f08484e0226d18df209bccd32c2.png" descr="_static/temp/3dc99f08484e0226d18df209bccd3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dc99f08484e0226d18df209bccd32c2.png" descr="_static/temp/3dc99f08484e0226d18df209bccd32c2.png"/>
                    <pic:cNvPicPr>
                      <a:picLocks noChangeAspect="1" noChangeArrowheads="1"/>
                    </pic:cNvPicPr>
                  </pic:nvPicPr>
                  <pic:blipFill>
                    <a:blip xmlns:r="http://schemas.openxmlformats.org/officeDocument/2006/relationships" r:embed="rId80"/>
                    <a:srcRect/>
                    <a:stretch>
                      <a:fillRect/>
                    </a:stretch>
                  </pic:blipFill>
                  <pic:spPr bwMode="auto">
                    <a:xfrm>
                      <a:off x="0" y="0"/>
                      <a:ext cx="6476365" cy="3266766"/>
                    </a:xfrm>
                    <a:prstGeom prst="rect">
                      <a:avLst/>
                    </a:prstGeom>
                    <a:noFill/>
                  </pic:spPr>
                </pic:pic>
              </a:graphicData>
            </a:graphic>
          </wp:inline>
        </w:drawing>
      </w:r>
    </w:p>
    <w:bookmarkEnd w:id="537"/>
    <w:bookmarkEnd w:id="538"/>
    <w:bookmarkEnd w:id="533"/>
    <w:bookmarkEnd w:id="534"/>
    <w:bookmarkEnd w:id="521"/>
    <w:bookmarkEnd w:id="522"/>
    <w:bookmarkStart w:id="539" w:name="_be2eda2e3884f72f76a1e50f7c7b8373"/>
    <w:bookmarkStart w:id="540" w:name="_5151f2961ee6627745beaa5e2aef60f0"/>
    <w:p>
      <w:pPr>
        <w:pStyle w:val="Heading3"/>
        <w:keepNext/>
      </w:pPr>
      <w:r>
        <w:t>Patrimonio netto</w:t>
      </w:r>
    </w:p>
    <w:p>
      <w:pPr>
        <w:pStyle w:val="BodyText"/>
        <w:ind w:leftChars="0" w:left="0" w:right="0"/>
      </w:pPr>
      <w:r>
        <w:t xml:space="preserve">La presente sottosezione delle Fonti di finanziamento </w:t>
      </w:r>
      <w:hyperlink w:anchor="_4b7df992f6467056150d59975fa8943a">
        <w:r>
          <w:rPr>
            <w:rStyle w:val="Hyperlink"/>
          </w:rPr>
          <w:t>Passivo</w:t>
        </w:r>
      </w:hyperlink>
      <w:r>
        <w:t xml:space="preserve"> è dedicata al patrimonio netto. Questo rappresenta la differenza tra attività e passività di bilancio e si compone di: capitale sociale, riserve, perdite e utili accumulati e risultato del periodo.</w:t>
      </w:r>
    </w:p>
    <w:p>
      <w:pPr>
        <w:pStyle w:val="BodyText"/>
        <w:ind w:leftChars="0" w:left="0" w:right="0"/>
      </w:pPr>
      <w:r>
        <w:t xml:space="preserve">Il prospetto seguente illustra il dettaglio analitico della voce </w:t>
      </w:r>
      <w:r>
        <w:rPr>
          <w:i/>
          <w:iCs/>
        </w:rPr>
        <w:t>Patrimonio netto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5151f2961ee6627745beaa5e2aef60f0">
              <w:r>
                <w:rPr>
                  <w:rStyle w:val="Hyperlink"/>
                </w:rPr>
                <w:t>Patrimonio netto</w:t>
              </w:r>
            </w:hyperlink>
          </w:p>
        </w:tc>
        <w:tc>
          <w:tcPr>
            <w:cnfStyle w:evenVBand="true" w:oddVBand="false" w:firstColumn="false"/>
            <w:tcW w:w="11.434303%" w:type="pct"/>
          </w:tcPr>
          <w:p>
            <w:pPr>
              <w:pStyle w:val="table-level-1"/>
              <w:ind w:leftChars="0" w:left="0" w:right="0"/>
              <w:keepNext/>
            </w:pPr>
            <w:r>
              <w:t>3.669</w:t>
            </w:r>
          </w:p>
        </w:tc>
        <w:tc>
          <w:tcPr>
            <w:cnfStyle w:evenVBand="false" w:oddVBand="true" w:firstColumn="false"/>
            <w:tcW w:w="11.434303%" w:type="pct"/>
          </w:tcPr>
          <w:p>
            <w:pPr>
              <w:pStyle w:val="table-level-1"/>
              <w:ind w:leftChars="0" w:left="0" w:right="0"/>
              <w:keepNext/>
            </w:pPr>
            <w:r>
              <w:t>3.243</w:t>
            </w:r>
          </w:p>
        </w:tc>
        <w:tc>
          <w:tcPr>
            <w:cnfStyle w:evenVBand="true" w:oddVBand="false" w:firstColumn="false"/>
            <w:tcW w:w="11.434303%" w:type="pct"/>
          </w:tcPr>
          <w:p>
            <w:pPr>
              <w:pStyle w:val="table-level-1"/>
              <w:ind w:leftChars="0" w:left="0" w:right="0"/>
              <w:keepNext/>
            </w:pPr>
            <w:r>
              <w:t>2.206</w:t>
            </w:r>
          </w:p>
        </w:tc>
        <w:tc>
          <w:tcPr>
            <w:cnfStyle w:evenVBand="false" w:oddVBand="true" w:firstColumn="false"/>
            <w:tcW w:w="11.434303%" w:type="pct"/>
          </w:tcPr>
          <w:p>
            <w:pPr>
              <w:pStyle w:val="table-level-1"/>
              <w:ind w:leftChars="0" w:left="0" w:right="0"/>
              <w:keepNext/>
            </w:pPr>
            <w:r>
              <w:t>1.800</w:t>
            </w:r>
          </w:p>
        </w:tc>
        <w:tc>
          <w:tcPr>
            <w:cnfStyle w:evenVBand="true" w:oddVBand="false" w:firstColumn="false"/>
            <w:tcW w:w="11.434303%" w:type="pct"/>
          </w:tcPr>
          <w:p>
            <w:pPr>
              <w:pStyle w:val="table-level-1"/>
              <w:ind w:leftChars="0" w:left="0" w:right="0"/>
              <w:keepNext/>
            </w:pPr>
            <w:r>
              <w:t>1.351</w:t>
            </w:r>
          </w:p>
        </w:tc>
        <w:tc>
          <w:tcPr>
            <w:cnfStyle w:evenVBand="false" w:oddVBand="true" w:firstColumn="false"/>
            <w:tcW w:w="11.434303%" w:type="pct"/>
          </w:tcPr>
          <w:p>
            <w:pPr>
              <w:pStyle w:val="table-level-1"/>
              <w:ind w:leftChars="0" w:left="0" w:right="0"/>
              <w:keepNext/>
            </w:pPr>
            <w:r>
              <w:t>1.479</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Capitale sociale</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80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ae1b690f12afb74c32dcb8c67f9e469e">
              <w:r>
                <w:rPr>
                  <w:rStyle w:val="Hyperlink"/>
                </w:rPr>
                <w:t>Riserve</w:t>
              </w:r>
            </w:hyperlink>
          </w:p>
        </w:tc>
        <w:tc>
          <w:tcPr>
            <w:cnfStyle w:evenVBand="true" w:oddVBand="false" w:firstColumn="false"/>
            <w:tcW w:w="11.434303%" w:type="pct"/>
          </w:tcPr>
          <w:p>
            <w:pPr>
              <w:pStyle w:val="table-level-0"/>
              <w:ind w:leftChars="0" w:left="0" w:right="0"/>
              <w:keepNext/>
            </w:pPr>
            <w:r>
              <w:t>440</w:t>
            </w:r>
          </w:p>
        </w:tc>
        <w:tc>
          <w:tcPr>
            <w:cnfStyle w:evenVBand="false" w:oddVBand="true" w:firstColumn="false"/>
            <w:tcW w:w="11.434303%" w:type="pct"/>
          </w:tcPr>
          <w:p>
            <w:pPr>
              <w:pStyle w:val="table-level-0"/>
              <w:ind w:leftChars="0" w:left="0" w:right="0"/>
              <w:keepNext/>
            </w:pPr>
            <w:r>
              <w:t>642,5</w:t>
            </w:r>
          </w:p>
        </w:tc>
        <w:tc>
          <w:tcPr>
            <w:cnfStyle w:evenVBand="true" w:oddVBand="false" w:firstColumn="false"/>
            <w:tcW w:w="11.434303%" w:type="pct"/>
          </w:tcPr>
          <w:p>
            <w:pPr>
              <w:pStyle w:val="table-level-0"/>
              <w:ind w:leftChars="0" w:left="0" w:right="0"/>
              <w:keepNext/>
            </w:pPr>
            <w:r>
              <w:t>432</w:t>
            </w:r>
          </w:p>
        </w:tc>
        <w:tc>
          <w:tcPr>
            <w:cnfStyle w:evenVBand="false" w:oddVBand="true" w:firstColumn="false"/>
            <w:tcW w:w="11.434303%" w:type="pct"/>
          </w:tcPr>
          <w:p>
            <w:pPr>
              <w:pStyle w:val="table-level-0"/>
              <w:ind w:leftChars="0" w:left="0" w:right="0"/>
              <w:keepNext/>
            </w:pPr>
            <w:r>
              <w:t>432,4</w:t>
            </w:r>
          </w:p>
        </w:tc>
        <w:tc>
          <w:tcPr>
            <w:cnfStyle w:evenVBand="true" w:oddVBand="false" w:firstColumn="false"/>
            <w:tcW w:w="11.434303%" w:type="pct"/>
          </w:tcPr>
          <w:p>
            <w:pPr>
              <w:pStyle w:val="table-level-0"/>
              <w:ind w:leftChars="0" w:left="0" w:right="0"/>
              <w:keepNext/>
            </w:pPr>
            <w:r>
              <w:t>372</w:t>
            </w:r>
          </w:p>
        </w:tc>
        <w:tc>
          <w:tcPr>
            <w:cnfStyle w:evenVBand="false" w:oddVBand="true" w:firstColumn="false"/>
            <w:tcW w:w="11.434303%" w:type="pct"/>
          </w:tcPr>
          <w:p>
            <w:pPr>
              <w:pStyle w:val="table-level-0"/>
              <w:ind w:leftChars="0" w:left="0" w:right="0"/>
              <w:keepNext/>
            </w:pPr>
            <w:r>
              <w:t>362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Utili/perdite portati a nuovo</w:t>
            </w:r>
          </w:p>
        </w:tc>
        <w:tc>
          <w:tcPr>
            <w:cnfStyle w:evenVBand="true" w:oddVBand="false" w:firstColumn="false"/>
            <w:tcW w:w="11.434303%" w:type="pct"/>
          </w:tcPr>
          <w:p>
            <w:pPr>
              <w:pStyle w:val="table-level-0"/>
              <w:ind w:leftChars="0" w:left="0" w:right="0"/>
              <w:keepNext/>
            </w:pPr>
            <w:r>
              <w:t>2.400</w:t>
            </w:r>
          </w:p>
        </w:tc>
        <w:tc>
          <w:tcPr>
            <w:cnfStyle w:evenVBand="false" w:oddVBand="true" w:firstColumn="false"/>
            <w:tcW w:w="11.434303%" w:type="pct"/>
          </w:tcPr>
          <w:p>
            <w:pPr>
              <w:pStyle w:val="table-level-0"/>
              <w:ind w:leftChars="0" w:left="0" w:right="0"/>
              <w:keepNext/>
            </w:pPr>
            <w:r>
              <w:t>1.600</w:t>
            </w:r>
          </w:p>
        </w:tc>
        <w:tc>
          <w:tcPr>
            <w:cnfStyle w:evenVBand="true" w:oddVBand="false" w:firstColumn="false"/>
            <w:tcW w:w="11.434303%" w:type="pct"/>
          </w:tcPr>
          <w:p>
            <w:pPr>
              <w:pStyle w:val="table-level-0"/>
              <w:ind w:leftChars="0" w:left="0" w:right="0"/>
              <w:keepNext/>
            </w:pPr>
            <w:r>
              <w:t>700</w:t>
            </w:r>
          </w:p>
        </w:tc>
        <w:tc>
          <w:tcPr>
            <w:cnfStyle w:evenVBand="false" w:oddVBand="true" w:firstColumn="false"/>
            <w:tcW w:w="11.434303%" w:type="pct"/>
          </w:tcPr>
          <w:p>
            <w:pPr>
              <w:pStyle w:val="table-level-0"/>
              <w:ind w:leftChars="0" w:left="0" w:right="0"/>
              <w:keepNext/>
            </w:pPr>
            <w:r>
              <w:t>500</w:t>
            </w:r>
          </w:p>
        </w:tc>
        <w:tc>
          <w:tcPr>
            <w:cnfStyle w:evenVBand="true" w:oddVBand="false" w:firstColumn="false"/>
            <w:tcW w:w="11.434303%" w:type="pct"/>
          </w:tcPr>
          <w:p>
            <w:pPr>
              <w:pStyle w:val="table-level-0"/>
              <w:ind w:leftChars="0" w:left="0" w:right="0"/>
              <w:keepNext/>
            </w:pPr>
            <w:r>
              <w:t>500</w:t>
            </w:r>
          </w:p>
        </w:tc>
        <w:tc>
          <w:tcPr>
            <w:cnfStyle w:evenVBand="false" w:oddVBand="true" w:firstColumn="false"/>
            <w:tcW w:w="11.434303%" w:type="pct"/>
          </w:tcPr>
          <w:p>
            <w:pPr>
              <w:pStyle w:val="table-level-0"/>
              <w:ind w:leftChars="0" w:left="0" w:right="0"/>
              <w:keepNext/>
            </w:pPr>
            <w:r>
              <w:t>500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Risultato del periodo</w:t>
            </w:r>
          </w:p>
        </w:tc>
        <w:tc>
          <w:tcPr>
            <w:cnfStyle w:evenVBand="true" w:oddVBand="false" w:firstColumn="false"/>
            <w:tcW w:w="11.434303%" w:type="pct"/>
          </w:tcPr>
          <w:p>
            <w:pPr>
              <w:pStyle w:val="table-level-0"/>
              <w:ind w:leftChars="0" w:left="0" w:right="0"/>
              <w:keepNext/>
            </w:pPr>
            <w:r>
              <w:t>678,9</w:t>
            </w:r>
          </w:p>
        </w:tc>
        <w:tc>
          <w:tcPr>
            <w:cnfStyle w:evenVBand="false" w:oddVBand="true" w:firstColumn="false"/>
            <w:tcW w:w="11.434303%" w:type="pct"/>
          </w:tcPr>
          <w:p>
            <w:pPr>
              <w:pStyle w:val="table-level-0"/>
              <w:ind w:leftChars="0" w:left="0" w:right="0"/>
              <w:keepNext/>
            </w:pPr>
            <w:r>
              <w:t>850,5</w:t>
            </w:r>
          </w:p>
        </w:tc>
        <w:tc>
          <w:tcPr>
            <w:cnfStyle w:evenVBand="true" w:oddVBand="false" w:firstColumn="false"/>
            <w:tcW w:w="11.434303%" w:type="pct"/>
          </w:tcPr>
          <w:p>
            <w:pPr>
              <w:pStyle w:val="table-level-0"/>
              <w:ind w:leftChars="0" w:left="0" w:right="0"/>
              <w:keepNext/>
            </w:pPr>
            <w:r>
              <w:t>924,4</w:t>
            </w:r>
          </w:p>
        </w:tc>
        <w:tc>
          <w:tcPr>
            <w:cnfStyle w:evenVBand="false" w:oddVBand="true" w:firstColumn="false"/>
            <w:tcW w:w="11.434303%" w:type="pct"/>
          </w:tcPr>
          <w:p>
            <w:pPr>
              <w:pStyle w:val="table-level-0"/>
              <w:ind w:leftChars="0" w:left="0" w:right="0"/>
              <w:keepNext/>
            </w:pPr>
            <w:r>
              <w:t>717,3</w:t>
            </w:r>
          </w:p>
        </w:tc>
        <w:tc>
          <w:tcPr>
            <w:cnfStyle w:evenVBand="true" w:oddVBand="false" w:firstColumn="false"/>
            <w:tcW w:w="11.434303%" w:type="pct"/>
          </w:tcPr>
          <w:p>
            <w:pPr>
              <w:pStyle w:val="table-level-0"/>
              <w:ind w:leftChars="0" w:left="0" w:right="0"/>
              <w:keepNext/>
            </w:pPr>
            <w:r>
              <w:t>329,2</w:t>
            </w:r>
          </w:p>
        </w:tc>
        <w:tc>
          <w:tcPr>
            <w:cnfStyle w:evenVBand="false" w:oddVBand="true" w:firstColumn="false"/>
            <w:tcW w:w="11.434303%" w:type="pct"/>
          </w:tcPr>
          <w:p>
            <w:pPr>
              <w:pStyle w:val="table-level-0"/>
              <w:ind w:leftChars="0" w:left="0" w:right="0"/>
              <w:keepNext/>
            </w:pPr>
            <w:r>
              <w:t>536,9</w:t>
            </w:r>
          </w:p>
        </w:tc>
      </w:tr>
    </w:tbl>
    <w:p>
      <w:pPr>
        <w:pStyle w:val="TableBottomMargin"/>
      </w:pPr>
    </w:p>
    <w:p>
      <w:pPr>
        <w:pStyle w:val="BodyText"/>
        <w:ind w:leftChars="0" w:left="0" w:right="0"/>
      </w:pPr>
      <w:r>
        <w:t xml:space="preserve">Dal prospetto si evince che al 31 dicembre 2022 il valore della voce </w:t>
      </w:r>
      <w:r>
        <w:rPr>
          <w:i/>
          <w:iCs/>
        </w:rPr>
        <w:t>Patrimonio netto</w:t>
      </w:r>
      <w:r>
        <w:t xml:space="preserve"> è pari a € 3.668.886 ed è in crescita del 13% rispetto al 31 dicembre 2021.</w:t>
      </w:r>
    </w:p>
    <w:p>
      <w:pPr>
        <w:pStyle w:val="BodyText"/>
        <w:ind w:leftChars="0" w:left="0" w:right="0"/>
      </w:pPr>
      <w:r>
        <w:t xml:space="preserve">Il grafico seguente mostra l’analisi dell’andamento della voce </w:t>
      </w:r>
      <w:r>
        <w:rPr>
          <w:i/>
          <w:iCs/>
        </w:rPr>
        <w:t>Patrimonio netto</w:t>
      </w:r>
      <w:r>
        <w:t xml:space="preserve"> dal 31 dicembre 2017 al 31 dicembre 2022. Tale valore risulta in crescita del 148%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8" name="da7a59c10e9ef3ca73f294ddbad4387e.png" descr="_static/temp/da7a59c10e9ef3ca73f294ddbad43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a7a59c10e9ef3ca73f294ddbad4387e.png" descr="_static/temp/da7a59c10e9ef3ca73f294ddbad4387e.png"/>
                    <pic:cNvPicPr>
                      <a:picLocks noChangeAspect="1" noChangeArrowheads="1"/>
                    </pic:cNvPicPr>
                  </pic:nvPicPr>
                  <pic:blipFill>
                    <a:blip xmlns:r="http://schemas.openxmlformats.org/officeDocument/2006/relationships" r:embed="rId8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Patrimonio netto</w:t>
      </w:r>
      <w:r>
        <w:t xml:space="preserve"> al 31 dicembre 2022, la componente più significativa è rappresentata dalla voce </w:t>
      </w:r>
      <w:r>
        <w:rPr>
          <w:i/>
          <w:iCs/>
        </w:rPr>
        <w:t>Utili/perdite portati a nuovo</w:t>
      </w:r>
      <w:r>
        <w:t xml:space="preserve"> con un valore pari a 2.400.000 €. Il grafico seguente visualizza la ripartizione di tutte le componenti della voce </w:t>
      </w:r>
      <w:r>
        <w:rPr>
          <w:i/>
          <w:iCs/>
        </w:rPr>
        <w:t>Patrimonio netto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59" name="87122ce25d4a2224589e4536b7d09da6.png" descr="_static/temp/87122ce25d4a2224589e4536b7d09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7122ce25d4a2224589e4536b7d09da6.png" descr="_static/temp/87122ce25d4a2224589e4536b7d09da6.png"/>
                    <pic:cNvPicPr>
                      <a:picLocks noChangeAspect="1" noChangeArrowheads="1"/>
                    </pic:cNvPicPr>
                  </pic:nvPicPr>
                  <pic:blipFill>
                    <a:blip xmlns:r="http://schemas.openxmlformats.org/officeDocument/2006/relationships" r:embed="rId82"/>
                    <a:srcRect/>
                    <a:stretch>
                      <a:fillRect/>
                    </a:stretch>
                  </pic:blipFill>
                  <pic:spPr bwMode="auto">
                    <a:xfrm>
                      <a:off x="0" y="0"/>
                      <a:ext cx="6476365" cy="3266766"/>
                    </a:xfrm>
                    <a:prstGeom prst="rect">
                      <a:avLst/>
                    </a:prstGeom>
                    <a:noFill/>
                  </pic:spPr>
                </pic:pic>
              </a:graphicData>
            </a:graphic>
          </wp:inline>
        </w:drawing>
      </w:r>
    </w:p>
    <w:bookmarkStart w:id="541" w:name="_0db2d484da58da3f955d2358aa8956e8"/>
    <w:bookmarkStart w:id="542" w:name="_ae1b690f12afb74c32dcb8c67f9e469e"/>
    <w:p>
      <w:pPr>
        <w:pStyle w:val="Heading4"/>
        <w:keepNext/>
      </w:pPr>
      <w:r>
        <w:t>Riserve</w:t>
      </w:r>
    </w:p>
    <w:p>
      <w:pPr>
        <w:pStyle w:val="BodyText"/>
        <w:ind w:leftChars="0" w:left="0" w:right="0"/>
      </w:pPr>
      <w:r>
        <w:t xml:space="preserve">La presente sottosezione del </w:t>
      </w:r>
      <w:hyperlink w:anchor="_5151f2961ee6627745beaa5e2aef60f0">
        <w:r>
          <w:rPr>
            <w:rStyle w:val="Hyperlink"/>
          </w:rPr>
          <w:t>Patrimonio netto</w:t>
        </w:r>
      </w:hyperlink>
      <w:r>
        <w:t xml:space="preserve"> è dedicata alle riserve patrimoniali. Rappresentano quote del patrimonio netto costituite per autofinanziare l’azienda e per proteggere il capitale contro il rischio di future perdite.</w:t>
      </w:r>
    </w:p>
    <w:p>
      <w:pPr>
        <w:pStyle w:val="BodyText"/>
        <w:ind w:leftChars="0" w:left="0" w:right="0"/>
      </w:pPr>
      <w:r>
        <w:t xml:space="preserve">Il prospetto seguente illustra il dettaglio analitico della voce </w:t>
      </w:r>
      <w:r>
        <w:rPr>
          <w:i/>
          <w:iCs/>
        </w:rPr>
        <w:t>Riserve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ae1b690f12afb74c32dcb8c67f9e469e">
              <w:r>
                <w:rPr>
                  <w:rStyle w:val="Hyperlink"/>
                </w:rPr>
                <w:t>Riserve</w:t>
              </w:r>
            </w:hyperlink>
          </w:p>
        </w:tc>
        <w:tc>
          <w:tcPr>
            <w:cnfStyle w:evenVBand="true" w:oddVBand="false" w:firstColumn="false"/>
            <w:tcW w:w="11.434303%" w:type="pct"/>
          </w:tcPr>
          <w:p>
            <w:pPr>
              <w:pStyle w:val="table-level-1"/>
              <w:ind w:leftChars="0" w:left="0" w:right="0"/>
              <w:keepNext/>
            </w:pPr>
            <w:r>
              <w:t>440</w:t>
            </w:r>
          </w:p>
        </w:tc>
        <w:tc>
          <w:tcPr>
            <w:cnfStyle w:evenVBand="false" w:oddVBand="true" w:firstColumn="false"/>
            <w:tcW w:w="11.434303%" w:type="pct"/>
          </w:tcPr>
          <w:p>
            <w:pPr>
              <w:pStyle w:val="table-level-1"/>
              <w:ind w:leftChars="0" w:left="0" w:right="0"/>
              <w:keepNext/>
            </w:pPr>
            <w:r>
              <w:t>642,5</w:t>
            </w:r>
          </w:p>
        </w:tc>
        <w:tc>
          <w:tcPr>
            <w:cnfStyle w:evenVBand="true" w:oddVBand="false" w:firstColumn="false"/>
            <w:tcW w:w="11.434303%" w:type="pct"/>
          </w:tcPr>
          <w:p>
            <w:pPr>
              <w:pStyle w:val="table-level-1"/>
              <w:ind w:leftChars="0" w:left="0" w:right="0"/>
              <w:keepNext/>
            </w:pPr>
            <w:r>
              <w:t>432</w:t>
            </w:r>
          </w:p>
        </w:tc>
        <w:tc>
          <w:tcPr>
            <w:cnfStyle w:evenVBand="false" w:oddVBand="true" w:firstColumn="false"/>
            <w:tcW w:w="11.434303%" w:type="pct"/>
          </w:tcPr>
          <w:p>
            <w:pPr>
              <w:pStyle w:val="table-level-1"/>
              <w:ind w:leftChars="0" w:left="0" w:right="0"/>
              <w:keepNext/>
            </w:pPr>
            <w:r>
              <w:t>432,4</w:t>
            </w:r>
          </w:p>
        </w:tc>
        <w:tc>
          <w:tcPr>
            <w:cnfStyle w:evenVBand="true" w:oddVBand="false" w:firstColumn="false"/>
            <w:tcW w:w="11.434303%" w:type="pct"/>
          </w:tcPr>
          <w:p>
            <w:pPr>
              <w:pStyle w:val="table-level-1"/>
              <w:ind w:leftChars="0" w:left="0" w:right="0"/>
              <w:keepNext/>
            </w:pPr>
            <w:r>
              <w:t>372</w:t>
            </w:r>
          </w:p>
        </w:tc>
        <w:tc>
          <w:tcPr>
            <w:cnfStyle w:evenVBand="false" w:oddVBand="true" w:firstColumn="false"/>
            <w:tcW w:w="11.434303%" w:type="pct"/>
          </w:tcPr>
          <w:p>
            <w:pPr>
              <w:pStyle w:val="table-level-1"/>
              <w:ind w:leftChars="0" w:left="0" w:right="0"/>
              <w:keepNext/>
            </w:pPr>
            <w:r>
              <w:t>362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da sovrapprezzo</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550</w:t>
            </w:r>
          </w:p>
        </w:tc>
        <w:tc>
          <w:tcPr>
            <w:cnfStyle w:evenVBand="true" w:oddVBand="false" w:firstColumn="false"/>
            <w:tcW w:w="11.434303%" w:type="pct"/>
          </w:tcPr>
          <w:p>
            <w:pPr>
              <w:pStyle w:val="table-level-0"/>
              <w:ind w:leftChars="0" w:left="0" w:right="0"/>
              <w:keepNext/>
            </w:pPr>
            <w:r>
              <w:t>350</w:t>
            </w:r>
          </w:p>
        </w:tc>
        <w:tc>
          <w:tcPr>
            <w:cnfStyle w:evenVBand="false" w:oddVBand="true" w:firstColumn="false"/>
            <w:tcW w:w="11.434303%" w:type="pct"/>
          </w:tcPr>
          <w:p>
            <w:pPr>
              <w:pStyle w:val="table-level-0"/>
              <w:ind w:leftChars="0" w:left="0" w:right="0"/>
              <w:keepNext/>
            </w:pPr>
            <w:r>
              <w:t>350</w:t>
            </w:r>
          </w:p>
        </w:tc>
        <w:tc>
          <w:tcPr>
            <w:cnfStyle w:evenVBand="true" w:oddVBand="false" w:firstColumn="false"/>
            <w:tcW w:w="11.434303%" w:type="pct"/>
          </w:tcPr>
          <w:p>
            <w:pPr>
              <w:pStyle w:val="table-level-0"/>
              <w:ind w:leftChars="0" w:left="0" w:right="0"/>
              <w:keepNext/>
            </w:pPr>
            <w:r>
              <w:t>340</w:t>
            </w:r>
          </w:p>
        </w:tc>
        <w:tc>
          <w:tcPr>
            <w:cnfStyle w:evenVBand="false" w:oddVBand="true" w:firstColumn="false"/>
            <w:tcW w:w="11.434303%" w:type="pct"/>
          </w:tcPr>
          <w:p>
            <w:pPr>
              <w:pStyle w:val="table-level-0"/>
              <w:ind w:leftChars="0" w:left="0" w:right="0"/>
              <w:keepNext/>
            </w:pPr>
            <w:r>
              <w:t>330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di rivalutazione</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legale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statutaria</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Altre riserve</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Riserva operazioni di copertura</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Riserva negativa azioni proprie</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r>
    </w:tbl>
    <w:p>
      <w:pPr>
        <w:pStyle w:val="TableBottomMargin"/>
      </w:pPr>
    </w:p>
    <w:p>
      <w:pPr>
        <w:pStyle w:val="BodyText"/>
        <w:ind w:leftChars="0" w:left="0" w:right="0"/>
      </w:pPr>
      <w:r>
        <w:t xml:space="preserve">Dal prospetto si evince che al 31 dicembre 2022 il valore della voce </w:t>
      </w:r>
      <w:r>
        <w:rPr>
          <w:i/>
          <w:iCs/>
        </w:rPr>
        <w:t>Riserve</w:t>
      </w:r>
      <w:r>
        <w:t xml:space="preserve"> è pari a € 440.000 ed è in diminuzione del 32% rispetto al 31 dicembre 2021.</w:t>
      </w:r>
    </w:p>
    <w:p>
      <w:pPr>
        <w:pStyle w:val="BodyText"/>
        <w:ind w:leftChars="0" w:left="0" w:right="0"/>
      </w:pPr>
      <w:r>
        <w:t xml:space="preserve">Il grafico seguente mostra l’analisi dell’andamento della voce </w:t>
      </w:r>
      <w:r>
        <w:rPr>
          <w:i/>
          <w:iCs/>
        </w:rPr>
        <w:t>Riserve</w:t>
      </w:r>
      <w:r>
        <w:t xml:space="preserve"> dal 31 dicembre 2017 al 31 dicembre 2022. Tale valore risulta in crescita del 22% rispetto all’inizio del periodo visualizzato.</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0" name="d02fe9c0a8f5ebe7b5a265f0bbe67baa.png" descr="_static/temp/d02fe9c0a8f5ebe7b5a265f0bbe67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02fe9c0a8f5ebe7b5a265f0bbe67baa.png" descr="_static/temp/d02fe9c0a8f5ebe7b5a265f0bbe67baa.png"/>
                    <pic:cNvPicPr>
                      <a:picLocks noChangeAspect="1" noChangeArrowheads="1"/>
                    </pic:cNvPicPr>
                  </pic:nvPicPr>
                  <pic:blipFill>
                    <a:blip xmlns:r="http://schemas.openxmlformats.org/officeDocument/2006/relationships" r:embed="rId8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Riserve</w:t>
      </w:r>
      <w:r>
        <w:t xml:space="preserve"> al 31 dicembre 2022, la componente più significativa è rappresentata dalla voce </w:t>
      </w:r>
      <w:r>
        <w:rPr>
          <w:i/>
          <w:iCs/>
        </w:rPr>
        <w:t>Riserva da sovrapprezzo</w:t>
      </w:r>
      <w:r>
        <w:t xml:space="preserve"> con un valore pari a 350.000 €. Il grafico seguente visualizza la ripartizione di tutte le componenti della voce </w:t>
      </w:r>
      <w:r>
        <w:rPr>
          <w:i/>
          <w:iCs/>
        </w:rPr>
        <w:t>Riserve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1" name="722fa9024677c78da3dfc06dc0d83ef4.png" descr="_static/temp/722fa9024677c78da3dfc06dc0d83e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22fa9024677c78da3dfc06dc0d83ef4.png" descr="_static/temp/722fa9024677c78da3dfc06dc0d83ef4.png"/>
                    <pic:cNvPicPr>
                      <a:picLocks noChangeAspect="1" noChangeArrowheads="1"/>
                    </pic:cNvPicPr>
                  </pic:nvPicPr>
                  <pic:blipFill>
                    <a:blip xmlns:r="http://schemas.openxmlformats.org/officeDocument/2006/relationships" r:embed="rId84"/>
                    <a:srcRect/>
                    <a:stretch>
                      <a:fillRect/>
                    </a:stretch>
                  </pic:blipFill>
                  <pic:spPr bwMode="auto">
                    <a:xfrm>
                      <a:off x="0" y="0"/>
                      <a:ext cx="6476365" cy="3266766"/>
                    </a:xfrm>
                    <a:prstGeom prst="rect">
                      <a:avLst/>
                    </a:prstGeom>
                    <a:noFill/>
                  </pic:spPr>
                </pic:pic>
              </a:graphicData>
            </a:graphic>
          </wp:inline>
        </w:drawing>
      </w:r>
    </w:p>
    <w:br w:type="page"/>
    <w:bookmarkEnd w:id="541"/>
    <w:bookmarkEnd w:id="542"/>
    <w:bookmarkEnd w:id="539"/>
    <w:bookmarkEnd w:id="540"/>
    <w:bookmarkEnd w:id="519"/>
    <w:bookmarkEnd w:id="520"/>
    <w:bookmarkEnd w:id="471"/>
    <w:bookmarkEnd w:id="472"/>
    <w:bookmarkEnd w:id="473"/>
    <w:bookmarkEnd w:id="474"/>
    <w:bookmarkStart w:id="543" w:name="_2facdeaf2d2be050e60a4484776d93df"/>
    <w:bookmarkStart w:id="544" w:name="_bd45b82e0c7967fafb4a5a3c540661f8"/>
    <w:bookmarkStart w:id="545" w:name="_23c871734a7683ef7ac636988af9f591"/>
    <w:p>
      <w:pPr>
        <w:pStyle w:val="Heading1"/>
        <w:keepNext/>
        <w:pageBreakBefore w:val="1"/>
      </w:pPr>
      <w:r>
        <w:t>Conto economico</w:t>
      </w:r>
    </w:p>
    <w:p>
      <w:pPr>
        <w:pStyle w:val="BodyText"/>
        <w:ind w:leftChars="0" w:left="0" w:right="0"/>
      </w:pPr>
      <w:r>
        <w:t xml:space="preserve">Questa sezione contiene i prospetti del Conto economico della </w:t>
      </w:r>
      <w:r>
        <w:rPr>
          <w:i/>
          <w:iCs/>
        </w:rPr>
        <w:t>Società</w:t>
      </w:r>
      <w:r>
        <w:t>, seguendo una struttura ispirata allo schema tipico del Codice civile. I seguenti capitoli spiegano nel dettaglio la sua composizione, mentre la tabella seguente sintetizza i risultati conseguiti nel periodo compreso tra il 31 dicembre 2017 e il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hyperlink w:anchor="_c32ee55f1db7eaf113637e0261ea516c">
              <w:r>
                <w:rPr>
                  <w:rStyle w:val="Hyperlink"/>
                </w:rPr>
                <w:t>Valore della produzione</w:t>
              </w:r>
            </w:hyperlink>
          </w:p>
        </w:tc>
        <w:tc>
          <w:tcPr>
            <w:cnfStyle w:evenVBand="true" w:oddVBand="false" w:firstColumn="false"/>
            <w:tcW w:w="11.434303%" w:type="pct"/>
          </w:tcPr>
          <w:p>
            <w:pPr>
              <w:pStyle w:val="table-level-2"/>
              <w:ind w:leftChars="0" w:left="0" w:right="0"/>
              <w:keepNext/>
            </w:pPr>
            <w:r>
              <w:t>6.903</w:t>
            </w:r>
          </w:p>
        </w:tc>
        <w:tc>
          <w:tcPr>
            <w:cnfStyle w:evenVBand="false" w:oddVBand="true" w:firstColumn="false"/>
            <w:tcW w:w="11.434303%" w:type="pct"/>
          </w:tcPr>
          <w:p>
            <w:pPr>
              <w:pStyle w:val="table-level-2"/>
              <w:ind w:leftChars="0" w:left="0" w:right="0"/>
              <w:keepNext/>
            </w:pPr>
            <w:r>
              <w:t>6.298</w:t>
            </w:r>
          </w:p>
        </w:tc>
        <w:tc>
          <w:tcPr>
            <w:cnfStyle w:evenVBand="true" w:oddVBand="false" w:firstColumn="false"/>
            <w:tcW w:w="11.434303%" w:type="pct"/>
          </w:tcPr>
          <w:p>
            <w:pPr>
              <w:pStyle w:val="table-level-2"/>
              <w:ind w:leftChars="0" w:left="0" w:right="0"/>
              <w:keepNext/>
            </w:pPr>
            <w:r>
              <w:t>5.534</w:t>
            </w:r>
          </w:p>
        </w:tc>
        <w:tc>
          <w:tcPr>
            <w:cnfStyle w:evenVBand="false" w:oddVBand="true" w:firstColumn="false"/>
            <w:tcW w:w="11.434303%" w:type="pct"/>
          </w:tcPr>
          <w:p>
            <w:pPr>
              <w:pStyle w:val="table-level-2"/>
              <w:ind w:leftChars="0" w:left="0" w:right="0"/>
              <w:keepNext/>
            </w:pPr>
            <w:r>
              <w:t>4.953</w:t>
            </w:r>
          </w:p>
        </w:tc>
        <w:tc>
          <w:tcPr>
            <w:cnfStyle w:evenVBand="true" w:oddVBand="false" w:firstColumn="false"/>
            <w:tcW w:w="11.434303%" w:type="pct"/>
          </w:tcPr>
          <w:p>
            <w:pPr>
              <w:pStyle w:val="table-level-2"/>
              <w:ind w:leftChars="0" w:left="0" w:right="0"/>
              <w:keepNext/>
            </w:pPr>
            <w:r>
              <w:t>3.961</w:t>
            </w:r>
          </w:p>
        </w:tc>
        <w:tc>
          <w:tcPr>
            <w:cnfStyle w:evenVBand="false" w:oddVBand="true" w:firstColumn="false"/>
            <w:tcW w:w="11.434303%" w:type="pct"/>
          </w:tcPr>
          <w:p>
            <w:pPr>
              <w:pStyle w:val="table-level-2"/>
              <w:ind w:leftChars="0" w:left="0" w:right="0"/>
              <w:keepNext/>
            </w:pPr>
            <w:r>
              <w:t>3.972</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305a60ac4ff8150ca68b3f45082b051a">
              <w:r>
                <w:rPr>
                  <w:rStyle w:val="Hyperlink"/>
                </w:rPr>
                <w:t>Fatturato netto</w:t>
              </w:r>
            </w:hyperlink>
          </w:p>
        </w:tc>
        <w:tc>
          <w:tcPr>
            <w:cnfStyle w:evenVBand="true" w:oddVBand="false" w:firstColumn="false"/>
            <w:tcW w:w="11.434303%" w:type="pct"/>
          </w:tcPr>
          <w:p>
            <w:pPr>
              <w:pStyle w:val="table-level-1"/>
              <w:ind w:leftChars="0" w:left="0" w:right="0"/>
              <w:keepNext/>
            </w:pPr>
            <w:r>
              <w:t>6.850</w:t>
            </w:r>
          </w:p>
        </w:tc>
        <w:tc>
          <w:tcPr>
            <w:cnfStyle w:evenVBand="false" w:oddVBand="true" w:firstColumn="false"/>
            <w:tcW w:w="11.434303%" w:type="pct"/>
          </w:tcPr>
          <w:p>
            <w:pPr>
              <w:pStyle w:val="table-level-1"/>
              <w:ind w:leftChars="0" w:left="0" w:right="0"/>
              <w:keepNext/>
            </w:pPr>
            <w:r>
              <w:t>6.252</w:t>
            </w:r>
          </w:p>
        </w:tc>
        <w:tc>
          <w:tcPr>
            <w:cnfStyle w:evenVBand="true" w:oddVBand="false" w:firstColumn="false"/>
            <w:tcW w:w="11.434303%" w:type="pct"/>
          </w:tcPr>
          <w:p>
            <w:pPr>
              <w:pStyle w:val="table-level-1"/>
              <w:ind w:leftChars="0" w:left="0" w:right="0"/>
              <w:keepNext/>
            </w:pPr>
            <w:r>
              <w:t>5.485</w:t>
            </w:r>
          </w:p>
        </w:tc>
        <w:tc>
          <w:tcPr>
            <w:cnfStyle w:evenVBand="false" w:oddVBand="true" w:firstColumn="false"/>
            <w:tcW w:w="11.434303%" w:type="pct"/>
          </w:tcPr>
          <w:p>
            <w:pPr>
              <w:pStyle w:val="table-level-1"/>
              <w:ind w:leftChars="0" w:left="0" w:right="0"/>
              <w:keepNext/>
            </w:pPr>
            <w:r>
              <w:t>4.930</w:t>
            </w:r>
          </w:p>
        </w:tc>
        <w:tc>
          <w:tcPr>
            <w:cnfStyle w:evenVBand="true" w:oddVBand="false" w:firstColumn="false"/>
            <w:tcW w:w="11.434303%" w:type="pct"/>
          </w:tcPr>
          <w:p>
            <w:pPr>
              <w:pStyle w:val="table-level-1"/>
              <w:ind w:leftChars="0" w:left="0" w:right="0"/>
              <w:keepNext/>
            </w:pPr>
            <w:r>
              <w:t>3.850</w:t>
            </w:r>
          </w:p>
        </w:tc>
        <w:tc>
          <w:tcPr>
            <w:cnfStyle w:evenVBand="false" w:oddVBand="true" w:firstColumn="false"/>
            <w:tcW w:w="11.434303%" w:type="pct"/>
          </w:tcPr>
          <w:p>
            <w:pPr>
              <w:pStyle w:val="table-level-1"/>
              <w:ind w:leftChars="0" w:left="0" w:right="0"/>
              <w:keepNext/>
            </w:pPr>
            <w:r>
              <w:t>3.930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Ricavi da cessione beni</w:t>
            </w:r>
          </w:p>
        </w:tc>
        <w:tc>
          <w:tcPr>
            <w:cnfStyle w:evenVBand="true" w:oddVBand="false" w:firstColumn="false"/>
            <w:tcW w:w="11.434303%" w:type="pct"/>
          </w:tcPr>
          <w:p>
            <w:pPr>
              <w:pStyle w:val="table-level-0"/>
              <w:ind w:leftChars="0" w:left="0" w:right="0"/>
              <w:keepNext/>
            </w:pPr>
            <w:r>
              <w:t>2.000</w:t>
            </w:r>
          </w:p>
        </w:tc>
        <w:tc>
          <w:tcPr>
            <w:cnfStyle w:evenVBand="false" w:oddVBand="true" w:firstColumn="false"/>
            <w:tcW w:w="11.434303%" w:type="pct"/>
          </w:tcPr>
          <w:p>
            <w:pPr>
              <w:pStyle w:val="table-level-0"/>
              <w:ind w:leftChars="0" w:left="0" w:right="0"/>
              <w:keepNext/>
            </w:pPr>
            <w:r>
              <w:t>2.000</w:t>
            </w:r>
          </w:p>
        </w:tc>
        <w:tc>
          <w:tcPr>
            <w:cnfStyle w:evenVBand="true" w:oddVBand="false" w:firstColumn="false"/>
            <w:tcW w:w="11.434303%" w:type="pct"/>
          </w:tcPr>
          <w:p>
            <w:pPr>
              <w:pStyle w:val="table-level-0"/>
              <w:ind w:leftChars="0" w:left="0" w:right="0"/>
              <w:keepNext/>
            </w:pPr>
            <w:r>
              <w:t>1.760</w:t>
            </w:r>
          </w:p>
        </w:tc>
        <w:tc>
          <w:tcPr>
            <w:cnfStyle w:evenVBand="false" w:oddVBand="true" w:firstColumn="false"/>
            <w:tcW w:w="11.434303%" w:type="pct"/>
          </w:tcPr>
          <w:p>
            <w:pPr>
              <w:pStyle w:val="table-level-0"/>
              <w:ind w:leftChars="0" w:left="0" w:right="0"/>
              <w:keepNext/>
            </w:pPr>
            <w:r>
              <w:t>1.600</w:t>
            </w:r>
          </w:p>
        </w:tc>
        <w:tc>
          <w:tcPr>
            <w:cnfStyle w:evenVBand="true" w:oddVBand="false" w:firstColumn="false"/>
            <w:tcW w:w="11.434303%" w:type="pct"/>
          </w:tcPr>
          <w:p>
            <w:pPr>
              <w:pStyle w:val="table-level-0"/>
              <w:ind w:leftChars="0" w:left="0" w:right="0"/>
              <w:keepNext/>
            </w:pPr>
            <w:r>
              <w:t>1.500</w:t>
            </w:r>
          </w:p>
        </w:tc>
        <w:tc>
          <w:tcPr>
            <w:cnfStyle w:evenVBand="false" w:oddVBand="true" w:firstColumn="false"/>
            <w:tcW w:w="11.434303%" w:type="pct"/>
          </w:tcPr>
          <w:p>
            <w:pPr>
              <w:pStyle w:val="table-level-0"/>
              <w:ind w:leftChars="0" w:left="0" w:right="0"/>
              <w:keepNext/>
            </w:pPr>
            <w:r>
              <w:t>1.600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Ricavi da prestazione servizi</w:t>
            </w:r>
          </w:p>
        </w:tc>
        <w:tc>
          <w:tcPr>
            <w:cnfStyle w:evenVBand="true" w:oddVBand="false" w:firstColumn="false"/>
            <w:tcW w:w="11.434303%" w:type="pct"/>
          </w:tcPr>
          <w:p>
            <w:pPr>
              <w:pStyle w:val="table-level-0"/>
              <w:ind w:leftChars="0" w:left="0" w:right="0"/>
              <w:keepNext/>
            </w:pPr>
            <w:r>
              <w:t>2.700</w:t>
            </w:r>
          </w:p>
        </w:tc>
        <w:tc>
          <w:tcPr>
            <w:cnfStyle w:evenVBand="false" w:oddVBand="true" w:firstColumn="false"/>
            <w:tcW w:w="11.434303%" w:type="pct"/>
          </w:tcPr>
          <w:p>
            <w:pPr>
              <w:pStyle w:val="table-level-0"/>
              <w:ind w:leftChars="0" w:left="0" w:right="0"/>
              <w:keepNext/>
            </w:pPr>
            <w:r>
              <w:t>2.500</w:t>
            </w:r>
          </w:p>
        </w:tc>
        <w:tc>
          <w:tcPr>
            <w:cnfStyle w:evenVBand="true" w:oddVBand="false" w:firstColumn="false"/>
            <w:tcW w:w="11.434303%" w:type="pct"/>
          </w:tcPr>
          <w:p>
            <w:pPr>
              <w:pStyle w:val="table-level-0"/>
              <w:ind w:leftChars="0" w:left="0" w:right="0"/>
              <w:keepNext/>
            </w:pPr>
            <w:r>
              <w:t>2.200</w:t>
            </w:r>
          </w:p>
        </w:tc>
        <w:tc>
          <w:tcPr>
            <w:cnfStyle w:evenVBand="false" w:oddVBand="true" w:firstColumn="false"/>
            <w:tcW w:w="11.434303%" w:type="pct"/>
          </w:tcPr>
          <w:p>
            <w:pPr>
              <w:pStyle w:val="table-level-0"/>
              <w:ind w:leftChars="0" w:left="0" w:right="0"/>
              <w:keepNext/>
            </w:pPr>
            <w:r>
              <w:t>2.000</w:t>
            </w:r>
          </w:p>
        </w:tc>
        <w:tc>
          <w:tcPr>
            <w:cnfStyle w:evenVBand="true" w:oddVBand="false" w:firstColumn="false"/>
            <w:tcW w:w="11.434303%" w:type="pct"/>
          </w:tcPr>
          <w:p>
            <w:pPr>
              <w:pStyle w:val="table-level-0"/>
              <w:ind w:leftChars="0" w:left="0" w:right="0"/>
              <w:keepNext/>
            </w:pPr>
            <w:r>
              <w:t>1.460</w:t>
            </w:r>
          </w:p>
        </w:tc>
        <w:tc>
          <w:tcPr>
            <w:cnfStyle w:evenVBand="false" w:oddVBand="true" w:firstColumn="false"/>
            <w:tcW w:w="11.434303%" w:type="pct"/>
          </w:tcPr>
          <w:p>
            <w:pPr>
              <w:pStyle w:val="table-level-0"/>
              <w:ind w:leftChars="0" w:left="0" w:right="0"/>
              <w:keepNext/>
            </w:pPr>
            <w:r>
              <w:t>1.000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Ricavi delle vendite diversi</w:t>
            </w:r>
          </w:p>
        </w:tc>
        <w:tc>
          <w:tcPr>
            <w:cnfStyle w:evenVBand="true" w:oddVBand="false" w:firstColumn="false"/>
            <w:tcW w:w="11.434303%" w:type="pct"/>
          </w:tcPr>
          <w:p>
            <w:pPr>
              <w:pStyle w:val="table-level-0"/>
              <w:ind w:leftChars="0" w:left="0" w:right="0"/>
              <w:keepNext/>
            </w:pPr>
            <w:r>
              <w:t>1.400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800</w:t>
            </w:r>
          </w:p>
        </w:tc>
        <w:tc>
          <w:tcPr>
            <w:cnfStyle w:evenVBand="false" w:oddVBand="true" w:firstColumn="false"/>
            <w:tcW w:w="11.434303%" w:type="pct"/>
          </w:tcPr>
          <w:p>
            <w:pPr>
              <w:pStyle w:val="table-level-0"/>
              <w:ind w:leftChars="0" w:left="0" w:right="0"/>
              <w:keepNext/>
            </w:pPr>
            <w:r>
              <w:t>800</w:t>
            </w:r>
          </w:p>
        </w:tc>
        <w:tc>
          <w:tcPr>
            <w:cnfStyle w:evenVBand="true" w:oddVBand="false" w:firstColumn="false"/>
            <w:tcW w:w="11.434303%" w:type="pct"/>
          </w:tcPr>
          <w:p>
            <w:pPr>
              <w:pStyle w:val="table-level-0"/>
              <w:ind w:leftChars="0" w:left="0" w:right="0"/>
              <w:keepNext/>
            </w:pPr>
            <w:r>
              <w:t>640</w:t>
            </w:r>
          </w:p>
        </w:tc>
        <w:tc>
          <w:tcPr>
            <w:cnfStyle w:evenVBand="false" w:oddVBand="true" w:firstColumn="false"/>
            <w:tcW w:w="11.434303%" w:type="pct"/>
          </w:tcPr>
          <w:p>
            <w:pPr>
              <w:pStyle w:val="table-level-0"/>
              <w:ind w:leftChars="0" w:left="0" w:right="0"/>
              <w:keepNext/>
            </w:pPr>
            <w:r>
              <w:t>800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Fitti attivi</w:t>
            </w:r>
          </w:p>
        </w:tc>
        <w:tc>
          <w:tcPr>
            <w:cnfStyle w:evenVBand="true" w:oddVBand="false" w:firstColumn="false"/>
            <w:tcW w:w="11.434303%" w:type="pct"/>
          </w:tcPr>
          <w:p>
            <w:pPr>
              <w:pStyle w:val="table-level-0"/>
              <w:ind w:leftChars="0" w:left="0" w:right="0"/>
              <w:keepNext/>
            </w:pPr>
            <w:r>
              <w:t>460</w:t>
            </w:r>
          </w:p>
        </w:tc>
        <w:tc>
          <w:tcPr>
            <w:cnfStyle w:evenVBand="false" w:oddVBand="true" w:firstColumn="false"/>
            <w:tcW w:w="11.434303%" w:type="pct"/>
          </w:tcPr>
          <w:p>
            <w:pPr>
              <w:pStyle w:val="table-level-0"/>
              <w:ind w:leftChars="0" w:left="0" w:right="0"/>
              <w:keepNext/>
            </w:pPr>
            <w:r>
              <w:t>460</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250</w:t>
            </w:r>
          </w:p>
        </w:tc>
        <w:tc>
          <w:tcPr>
            <w:cnfStyle w:evenVBand="true" w:oddVBand="false" w:firstColumn="false"/>
            <w:tcW w:w="11.434303%" w:type="pct"/>
          </w:tcPr>
          <w:p>
            <w:pPr>
              <w:pStyle w:val="table-level-0"/>
              <w:ind w:leftChars="0" w:left="0" w:right="0"/>
              <w:keepNext/>
            </w:pPr>
            <w:r>
              <w:t>175</w:t>
            </w:r>
          </w:p>
        </w:tc>
        <w:tc>
          <w:tcPr>
            <w:cnfStyle w:evenVBand="false" w:oddVBand="true" w:firstColumn="false"/>
            <w:tcW w:w="11.434303%" w:type="pct"/>
          </w:tcPr>
          <w:p>
            <w:pPr>
              <w:pStyle w:val="table-level-0"/>
              <w:ind w:leftChars="0" w:left="0" w:right="0"/>
              <w:keepNext/>
            </w:pPr>
            <w:r>
              <w:t>250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Locazioni e noleggi attivi</w:t>
            </w:r>
          </w:p>
        </w:tc>
        <w:tc>
          <w:tcPr>
            <w:cnfStyle w:evenVBand="true" w:oddVBand="false" w:firstColumn="false"/>
            <w:tcW w:w="11.434303%" w:type="pct"/>
          </w:tcPr>
          <w:p>
            <w:pPr>
              <w:pStyle w:val="table-level-0"/>
              <w:ind w:leftChars="0" w:left="0" w:right="0"/>
              <w:keepNext/>
            </w:pPr>
            <w:r>
              <w:t>320</w:t>
            </w:r>
          </w:p>
        </w:tc>
        <w:tc>
          <w:tcPr>
            <w:cnfStyle w:evenVBand="false" w:oddVBand="true" w:firstColumn="false"/>
            <w:tcW w:w="11.434303%" w:type="pct"/>
          </w:tcPr>
          <w:p>
            <w:pPr>
              <w:pStyle w:val="table-level-0"/>
              <w:ind w:leftChars="0" w:left="0" w:right="0"/>
              <w:keepNext/>
            </w:pPr>
            <w:r>
              <w:t>320</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300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300</w:t>
            </w:r>
          </w:p>
        </w:tc>
      </w:tr>
      <w:tr>
        <w:trPr>
          <w:cnfStyle w:evenHBand="true" w:oddHBand="false" w:firstRow="false"/>
          <w:cantSplit/>
        </w:trPr>
        <w:tc>
          <w:tcPr>
            <w:cnfStyle w:evenVBand="false" w:oddVBand="true" w:firstColumn="false"/>
            <w:tcW w:w="31.394183%" w:type="pct"/>
          </w:tcPr>
          <w:p>
            <w:pPr>
              <w:pStyle w:val="index-table-level-100"/>
              <w:ind w:leftChars="0" w:left="0" w:right="0"/>
              <w:keepNext/>
            </w:pPr>
            <w:r>
              <w:t>Rettifiche su ricavi</w:t>
            </w:r>
          </w:p>
        </w:tc>
        <w:tc>
          <w:tcPr>
            <w:cnfStyle w:evenVBand="true" w:oddVBand="false" w:firstColumn="false"/>
            <w:tcW w:w="11.434303%" w:type="pct"/>
          </w:tcPr>
          <w:p>
            <w:pPr>
              <w:pStyle w:val="table-level-100"/>
              <w:ind w:leftChars="0" w:left="0" w:right="0"/>
              <w:keepNext/>
            </w:pPr>
            <w:r>
              <w:t>-30</w:t>
            </w:r>
          </w:p>
        </w:tc>
        <w:tc>
          <w:tcPr>
            <w:cnfStyle w:evenVBand="false" w:oddVBand="true" w:firstColumn="false"/>
            <w:tcW w:w="11.434303%" w:type="pct"/>
          </w:tcPr>
          <w:p>
            <w:pPr>
              <w:pStyle w:val="table-level-100"/>
              <w:ind w:leftChars="0" w:left="0" w:right="0"/>
              <w:keepNext/>
            </w:pPr>
            <w:r>
              <w:t>-27,5</w:t>
            </w:r>
          </w:p>
        </w:tc>
        <w:tc>
          <w:tcPr>
            <w:cnfStyle w:evenVBand="true" w:oddVBand="false" w:firstColumn="false"/>
            <w:tcW w:w="11.434303%" w:type="pct"/>
          </w:tcPr>
          <w:p>
            <w:pPr>
              <w:pStyle w:val="table-level-100"/>
              <w:ind w:leftChars="0" w:left="0" w:right="0"/>
              <w:keepNext/>
            </w:pPr>
            <w:r>
              <w:t>-25</w:t>
            </w:r>
          </w:p>
        </w:tc>
        <w:tc>
          <w:tcPr>
            <w:cnfStyle w:evenVBand="false" w:oddVBand="true" w:firstColumn="false"/>
            <w:tcW w:w="11.434303%" w:type="pct"/>
          </w:tcPr>
          <w:p>
            <w:pPr>
              <w:pStyle w:val="table-level-100"/>
              <w:ind w:leftChars="0" w:left="0" w:right="0"/>
              <w:keepNext/>
            </w:pPr>
            <w:r>
              <w:t>-20</w:t>
            </w:r>
          </w:p>
        </w:tc>
        <w:tc>
          <w:tcPr>
            <w:cnfStyle w:evenVBand="true" w:oddVBand="false" w:firstColumn="false"/>
            <w:tcW w:w="11.434303%" w:type="pct"/>
          </w:tcPr>
          <w:p>
            <w:pPr>
              <w:pStyle w:val="table-level-100"/>
              <w:ind w:leftChars="0" w:left="0" w:right="0"/>
              <w:keepNext/>
            </w:pPr>
            <w:r>
              <w:t>-75</w:t>
            </w:r>
          </w:p>
        </w:tc>
        <w:tc>
          <w:tcPr>
            <w:cnfStyle w:evenVBand="false" w:oddVBand="true" w:firstColumn="false"/>
            <w:tcW w:w="11.434303%" w:type="pct"/>
          </w:tcPr>
          <w:p>
            <w:pPr>
              <w:pStyle w:val="table-level-100"/>
              <w:ind w:leftChars="0" w:left="0" w:right="0"/>
              <w:keepNext/>
            </w:pPr>
            <w:r>
              <w:t>-20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Variazione rimanenze vendite</w:t>
            </w:r>
          </w:p>
        </w:tc>
        <w:tc>
          <w:tcPr>
            <w:cnfStyle w:evenVBand="true" w:oddVBand="false" w:firstColumn="false"/>
            <w:tcW w:w="11.434303%" w:type="pct"/>
          </w:tcPr>
          <w:p>
            <w:pPr>
              <w:pStyle w:val="table-level-1"/>
              <w:ind w:leftChars="0" w:left="0" w:right="0"/>
              <w:keepNext/>
            </w:pPr>
            <w:r>
              <w:t>16</w:t>
            </w:r>
          </w:p>
        </w:tc>
        <w:tc>
          <w:tcPr>
            <w:cnfStyle w:evenVBand="false" w:oddVBand="true" w:firstColumn="false"/>
            <w:tcW w:w="11.434303%" w:type="pct"/>
          </w:tcPr>
          <w:p>
            <w:pPr>
              <w:pStyle w:val="table-level-1"/>
              <w:ind w:leftChars="0" w:left="0" w:right="0"/>
              <w:keepNext/>
            </w:pPr>
            <w:r>
              <w:t>19,5</w:t>
            </w:r>
          </w:p>
        </w:tc>
        <w:tc>
          <w:tcPr>
            <w:cnfStyle w:evenVBand="true" w:oddVBand="false" w:firstColumn="false"/>
            <w:tcW w:w="11.434303%" w:type="pct"/>
          </w:tcPr>
          <w:p>
            <w:pPr>
              <w:pStyle w:val="table-level-1"/>
              <w:ind w:leftChars="0" w:left="0" w:right="0"/>
              <w:keepNext/>
            </w:pPr>
            <w:r>
              <w:t>23,5</w:t>
            </w:r>
          </w:p>
        </w:tc>
        <w:tc>
          <w:tcPr>
            <w:cnfStyle w:evenVBand="false" w:oddVBand="true" w:firstColumn="false"/>
            <w:tcW w:w="11.434303%" w:type="pct"/>
          </w:tcPr>
          <w:p>
            <w:pPr>
              <w:pStyle w:val="table-level-1"/>
              <w:ind w:leftChars="0" w:left="0" w:right="0"/>
              <w:keepNext/>
            </w:pPr>
            <w:r>
              <w:t>1,85</w:t>
            </w:r>
          </w:p>
        </w:tc>
        <w:tc>
          <w:tcPr>
            <w:cnfStyle w:evenVBand="true" w:oddVBand="false" w:firstColumn="false"/>
            <w:tcW w:w="11.434303%" w:type="pct"/>
          </w:tcPr>
          <w:p>
            <w:pPr>
              <w:pStyle w:val="table-level-1"/>
              <w:ind w:leftChars="0" w:left="0" w:right="0"/>
              <w:keepNext/>
            </w:pPr>
            <w:r>
              <w:t>2,3</w:t>
            </w:r>
          </w:p>
        </w:tc>
        <w:tc>
          <w:tcPr>
            <w:cnfStyle w:evenVBand="false" w:oddVBand="true" w:firstColumn="false"/>
            <w:tcW w:w="11.434303%" w:type="pct"/>
          </w:tcPr>
          <w:p>
            <w:pPr>
              <w:pStyle w:val="table-level-1"/>
              <w:ind w:leftChars="0" w:left="0" w:right="0"/>
              <w:keepNext/>
            </w:pPr>
            <w:r>
              <w:t>20,4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Variazioni di prodotti finiti</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0,25</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0,6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Variazioni lavori in ordinazione</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9</w:t>
            </w:r>
          </w:p>
        </w:tc>
        <w:tc>
          <w:tcPr>
            <w:cnfStyle w:evenVBand="true" w:oddVBand="false" w:firstColumn="false"/>
            <w:tcW w:w="11.434303%" w:type="pct"/>
          </w:tcPr>
          <w:p>
            <w:pPr>
              <w:pStyle w:val="table-level-0"/>
              <w:ind w:leftChars="0" w:left="0" w:right="0"/>
              <w:keepNext/>
            </w:pPr>
            <w:r>
              <w:t>8</w:t>
            </w:r>
          </w:p>
        </w:tc>
        <w:tc>
          <w:tcPr>
            <w:cnfStyle w:evenVBand="false" w:oddVBand="true" w:firstColumn="false"/>
            <w:tcW w:w="11.434303%" w:type="pct"/>
          </w:tcPr>
          <w:p>
            <w:pPr>
              <w:pStyle w:val="table-level-0"/>
              <w:ind w:leftChars="0" w:left="0" w:right="0"/>
              <w:keepNext/>
            </w:pPr>
            <w:r>
              <w:t>0,8</w:t>
            </w:r>
          </w:p>
        </w:tc>
        <w:tc>
          <w:tcPr>
            <w:cnfStyle w:evenVBand="true" w:oddVBand="false" w:firstColumn="false"/>
            <w:tcW w:w="11.434303%" w:type="pct"/>
          </w:tcPr>
          <w:p>
            <w:pPr>
              <w:pStyle w:val="table-level-0"/>
              <w:ind w:leftChars="0" w:left="0" w:right="0"/>
              <w:keepNext/>
            </w:pPr>
            <w:r>
              <w:t>0,8</w:t>
            </w:r>
          </w:p>
        </w:tc>
        <w:tc>
          <w:tcPr>
            <w:cnfStyle w:evenVBand="false" w:oddVBand="true" w:firstColumn="false"/>
            <w:tcW w:w="11.434303%" w:type="pct"/>
          </w:tcPr>
          <w:p>
            <w:pPr>
              <w:pStyle w:val="table-level-0"/>
              <w:ind w:leftChars="0" w:left="0" w:right="0"/>
              <w:keepNext/>
            </w:pPr>
            <w:r>
              <w:t>6,4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Incrementi per lavori interni</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0,8</w:t>
            </w:r>
          </w:p>
        </w:tc>
        <w:tc>
          <w:tcPr>
            <w:cnfStyle w:evenVBand="true" w:oddVBand="false" w:firstColumn="false"/>
            <w:tcW w:w="11.434303%" w:type="pct"/>
          </w:tcPr>
          <w:p>
            <w:pPr>
              <w:pStyle w:val="table-level-0"/>
              <w:ind w:leftChars="0" w:left="0" w:right="0"/>
              <w:keepNext/>
            </w:pPr>
            <w:r>
              <w:t>0,8</w:t>
            </w:r>
          </w:p>
        </w:tc>
        <w:tc>
          <w:tcPr>
            <w:cnfStyle w:evenVBand="false" w:oddVBand="true" w:firstColumn="false"/>
            <w:tcW w:w="11.434303%" w:type="pct"/>
          </w:tcPr>
          <w:p>
            <w:pPr>
              <w:pStyle w:val="table-level-0"/>
              <w:ind w:leftChars="0" w:left="0" w:right="0"/>
              <w:keepNext/>
            </w:pPr>
            <w:r>
              <w:t>13,4</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aeb67d7738f685d27bca76561a7012a3">
              <w:r>
                <w:rPr>
                  <w:rStyle w:val="Hyperlink"/>
                </w:rPr>
                <w:t>Altri ricavi e proventi</w:t>
              </w:r>
            </w:hyperlink>
          </w:p>
        </w:tc>
        <w:tc>
          <w:tcPr>
            <w:cnfStyle w:evenVBand="true" w:oddVBand="false" w:firstColumn="false"/>
            <w:tcW w:w="11.434303%" w:type="pct"/>
          </w:tcPr>
          <w:p>
            <w:pPr>
              <w:pStyle w:val="table-level-1"/>
              <w:ind w:leftChars="0" w:left="0" w:right="0"/>
              <w:keepNext/>
            </w:pPr>
            <w:r>
              <w:t>37</w:t>
            </w:r>
          </w:p>
        </w:tc>
        <w:tc>
          <w:tcPr>
            <w:cnfStyle w:evenVBand="false" w:oddVBand="true" w:firstColumn="false"/>
            <w:tcW w:w="11.434303%" w:type="pct"/>
          </w:tcPr>
          <w:p>
            <w:pPr>
              <w:pStyle w:val="table-level-1"/>
              <w:ind w:leftChars="0" w:left="0" w:right="0"/>
              <w:keepNext/>
            </w:pPr>
            <w:r>
              <w:t>26</w:t>
            </w:r>
          </w:p>
        </w:tc>
        <w:tc>
          <w:tcPr>
            <w:cnfStyle w:evenVBand="true" w:oddVBand="false" w:firstColumn="false"/>
            <w:tcW w:w="11.434303%" w:type="pct"/>
          </w:tcPr>
          <w:p>
            <w:pPr>
              <w:pStyle w:val="table-level-1"/>
              <w:ind w:leftChars="0" w:left="0" w:right="0"/>
              <w:keepNext/>
            </w:pPr>
            <w:r>
              <w:t>25,5</w:t>
            </w:r>
          </w:p>
        </w:tc>
        <w:tc>
          <w:tcPr>
            <w:cnfStyle w:evenVBand="false" w:oddVBand="true" w:firstColumn="false"/>
            <w:tcW w:w="11.434303%" w:type="pct"/>
          </w:tcPr>
          <w:p>
            <w:pPr>
              <w:pStyle w:val="table-level-1"/>
              <w:ind w:leftChars="0" w:left="0" w:right="0"/>
              <w:keepNext/>
            </w:pPr>
            <w:r>
              <w:t>21,5</w:t>
            </w:r>
          </w:p>
        </w:tc>
        <w:tc>
          <w:tcPr>
            <w:cnfStyle w:evenVBand="true" w:oddVBand="false" w:firstColumn="false"/>
            <w:tcW w:w="11.434303%" w:type="pct"/>
          </w:tcPr>
          <w:p>
            <w:pPr>
              <w:pStyle w:val="table-level-1"/>
              <w:ind w:leftChars="0" w:left="0" w:right="0"/>
              <w:keepNext/>
            </w:pPr>
            <w:r>
              <w:t>109</w:t>
            </w:r>
          </w:p>
        </w:tc>
        <w:tc>
          <w:tcPr>
            <w:cnfStyle w:evenVBand="false" w:oddVBand="true" w:firstColumn="false"/>
            <w:tcW w:w="11.434303%" w:type="pct"/>
          </w:tcPr>
          <w:p>
            <w:pPr>
              <w:pStyle w:val="table-level-1"/>
              <w:ind w:leftChars="0" w:left="0" w:right="0"/>
              <w:keepNext/>
            </w:pPr>
            <w:r>
              <w:t>21,5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ricavi</w:t>
            </w:r>
          </w:p>
        </w:tc>
        <w:tc>
          <w:tcPr>
            <w:cnfStyle w:evenVBand="true" w:oddVBand="false" w:firstColumn="false"/>
            <w:tcW w:w="11.434303%" w:type="pct"/>
          </w:tcPr>
          <w:p>
            <w:pPr>
              <w:pStyle w:val="table-level-0"/>
              <w:ind w:leftChars="0" w:left="0" w:right="0"/>
              <w:keepNext/>
            </w:pPr>
            <w:r>
              <w:t>18</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10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Sopravvenienze attive</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Contributi in conto esercizio</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hyperlink w:anchor="_76284af3e1ef73375f80178ffe0aa6e6">
              <w:r>
                <w:rPr>
                  <w:rStyle w:val="Hyperlink"/>
                </w:rPr>
                <w:t>Costi operativi</w:t>
              </w:r>
            </w:hyperlink>
          </w:p>
        </w:tc>
        <w:tc>
          <w:tcPr>
            <w:cnfStyle w:evenVBand="true" w:oddVBand="false" w:firstColumn="false"/>
            <w:tcW w:w="11.434303%" w:type="pct"/>
          </w:tcPr>
          <w:p>
            <w:pPr>
              <w:pStyle w:val="table-level-2"/>
              <w:ind w:leftChars="0" w:left="0" w:right="0"/>
              <w:keepNext/>
            </w:pPr>
            <w:r>
              <w:t>-5.330</w:t>
            </w:r>
          </w:p>
        </w:tc>
        <w:tc>
          <w:tcPr>
            <w:cnfStyle w:evenVBand="false" w:oddVBand="true" w:firstColumn="false"/>
            <w:tcW w:w="11.434303%" w:type="pct"/>
          </w:tcPr>
          <w:p>
            <w:pPr>
              <w:pStyle w:val="table-level-2"/>
              <w:ind w:leftChars="0" w:left="0" w:right="0"/>
              <w:keepNext/>
            </w:pPr>
            <w:r>
              <w:t>-4.552</w:t>
            </w:r>
          </w:p>
        </w:tc>
        <w:tc>
          <w:tcPr>
            <w:cnfStyle w:evenVBand="true" w:oddVBand="false" w:firstColumn="false"/>
            <w:tcW w:w="11.434303%" w:type="pct"/>
          </w:tcPr>
          <w:p>
            <w:pPr>
              <w:pStyle w:val="table-level-2"/>
              <w:ind w:leftChars="0" w:left="0" w:right="0"/>
              <w:keepNext/>
            </w:pPr>
            <w:r>
              <w:t>-3.762</w:t>
            </w:r>
          </w:p>
        </w:tc>
        <w:tc>
          <w:tcPr>
            <w:cnfStyle w:evenVBand="false" w:oddVBand="true" w:firstColumn="false"/>
            <w:tcW w:w="11.434303%" w:type="pct"/>
          </w:tcPr>
          <w:p>
            <w:pPr>
              <w:pStyle w:val="table-level-2"/>
              <w:ind w:leftChars="0" w:left="0" w:right="0"/>
              <w:keepNext/>
            </w:pPr>
            <w:r>
              <w:t>-3.498</w:t>
            </w:r>
          </w:p>
        </w:tc>
        <w:tc>
          <w:tcPr>
            <w:cnfStyle w:evenVBand="true" w:oddVBand="false" w:firstColumn="false"/>
            <w:tcW w:w="11.434303%" w:type="pct"/>
          </w:tcPr>
          <w:p>
            <w:pPr>
              <w:pStyle w:val="table-level-2"/>
              <w:ind w:leftChars="0" w:left="0" w:right="0"/>
              <w:keepNext/>
            </w:pPr>
            <w:r>
              <w:t>-3.073</w:t>
            </w:r>
          </w:p>
        </w:tc>
        <w:tc>
          <w:tcPr>
            <w:cnfStyle w:evenVBand="false" w:oddVBand="true" w:firstColumn="false"/>
            <w:tcW w:w="11.434303%" w:type="pct"/>
          </w:tcPr>
          <w:p>
            <w:pPr>
              <w:pStyle w:val="table-level-2"/>
              <w:ind w:leftChars="0" w:left="0" w:right="0"/>
              <w:keepNext/>
            </w:pPr>
            <w:r>
              <w:t>-2.886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6058206260392dd230652bc4d1331d06">
              <w:r>
                <w:rPr>
                  <w:rStyle w:val="Hyperlink"/>
                </w:rPr>
                <w:t>Materie prime e merci</w:t>
              </w:r>
            </w:hyperlink>
          </w:p>
        </w:tc>
        <w:tc>
          <w:tcPr>
            <w:cnfStyle w:evenVBand="true" w:oddVBand="false" w:firstColumn="false"/>
            <w:tcW w:w="11.434303%" w:type="pct"/>
          </w:tcPr>
          <w:p>
            <w:pPr>
              <w:pStyle w:val="table-level-1"/>
              <w:ind w:leftChars="0" w:left="0" w:right="0"/>
              <w:keepNext/>
            </w:pPr>
            <w:r>
              <w:t>-1.100</w:t>
            </w:r>
          </w:p>
        </w:tc>
        <w:tc>
          <w:tcPr>
            <w:cnfStyle w:evenVBand="false" w:oddVBand="true" w:firstColumn="false"/>
            <w:tcW w:w="11.434303%" w:type="pct"/>
          </w:tcPr>
          <w:p>
            <w:pPr>
              <w:pStyle w:val="table-level-1"/>
              <w:ind w:leftChars="0" w:left="0" w:right="0"/>
              <w:keepNext/>
            </w:pPr>
            <w:r>
              <w:t>-830</w:t>
            </w:r>
          </w:p>
        </w:tc>
        <w:tc>
          <w:tcPr>
            <w:cnfStyle w:evenVBand="true" w:oddVBand="false" w:firstColumn="false"/>
            <w:tcW w:w="11.434303%" w:type="pct"/>
          </w:tcPr>
          <w:p>
            <w:pPr>
              <w:pStyle w:val="table-level-1"/>
              <w:ind w:leftChars="0" w:left="0" w:right="0"/>
              <w:keepNext/>
            </w:pPr>
            <w:r>
              <w:t>-645</w:t>
            </w:r>
          </w:p>
        </w:tc>
        <w:tc>
          <w:tcPr>
            <w:cnfStyle w:evenVBand="false" w:oddVBand="true" w:firstColumn="false"/>
            <w:tcW w:w="11.434303%" w:type="pct"/>
          </w:tcPr>
          <w:p>
            <w:pPr>
              <w:pStyle w:val="table-level-1"/>
              <w:ind w:leftChars="0" w:left="0" w:right="0"/>
              <w:keepNext/>
            </w:pPr>
            <w:r>
              <w:t>-570</w:t>
            </w:r>
          </w:p>
        </w:tc>
        <w:tc>
          <w:tcPr>
            <w:cnfStyle w:evenVBand="true" w:oddVBand="false" w:firstColumn="false"/>
            <w:tcW w:w="11.434303%" w:type="pct"/>
          </w:tcPr>
          <w:p>
            <w:pPr>
              <w:pStyle w:val="table-level-1"/>
              <w:ind w:leftChars="0" w:left="0" w:right="0"/>
              <w:keepNext/>
            </w:pPr>
            <w:r>
              <w:t>-547,5</w:t>
            </w:r>
          </w:p>
        </w:tc>
        <w:tc>
          <w:tcPr>
            <w:cnfStyle w:evenVBand="false" w:oddVBand="true" w:firstColumn="false"/>
            <w:tcW w:w="11.434303%" w:type="pct"/>
          </w:tcPr>
          <w:p>
            <w:pPr>
              <w:pStyle w:val="table-level-1"/>
              <w:ind w:leftChars="0" w:left="0" w:right="0"/>
              <w:keepNext/>
            </w:pPr>
            <w:r>
              <w:t>-494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Materie prime</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-80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Materie sussidiarie</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Semilavorati</w:t>
            </w:r>
          </w:p>
        </w:tc>
        <w:tc>
          <w:tcPr>
            <w:cnfStyle w:evenVBand="true" w:oddVBand="false" w:firstColumn="false"/>
            <w:tcW w:w="11.434303%" w:type="pct"/>
          </w:tcPr>
          <w:p>
            <w:pPr>
              <w:pStyle w:val="table-level-0"/>
              <w:ind w:leftChars="0" w:left="0" w:right="0"/>
              <w:keepNext/>
            </w:pPr>
            <w:r>
              <w:t>-250</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Merci</w:t>
            </w:r>
          </w:p>
        </w:tc>
        <w:tc>
          <w:tcPr>
            <w:cnfStyle w:evenVBand="true" w:oddVBand="false" w:firstColumn="false"/>
            <w:tcW w:w="11.434303%" w:type="pct"/>
          </w:tcPr>
          <w:p>
            <w:pPr>
              <w:pStyle w:val="table-level-0"/>
              <w:ind w:leftChars="0" w:left="0" w:right="0"/>
              <w:keepNext/>
            </w:pPr>
            <w:r>
              <w:t>-280</w:t>
            </w:r>
          </w:p>
        </w:tc>
        <w:tc>
          <w:tcPr>
            <w:cnfStyle w:evenVBand="false" w:oddVBand="true" w:firstColumn="false"/>
            <w:tcW w:w="11.434303%" w:type="pct"/>
          </w:tcPr>
          <w:p>
            <w:pPr>
              <w:pStyle w:val="table-level-0"/>
              <w:ind w:leftChars="0" w:left="0" w:right="0"/>
              <w:keepNext/>
            </w:pPr>
            <w:r>
              <w:t>-230</w:t>
            </w:r>
          </w:p>
        </w:tc>
        <w:tc>
          <w:tcPr>
            <w:cnfStyle w:evenVBand="true" w:oddVBand="false" w:firstColumn="false"/>
            <w:tcW w:w="11.434303%" w:type="pct"/>
          </w:tcPr>
          <w:p>
            <w:pPr>
              <w:pStyle w:val="table-level-0"/>
              <w:ind w:leftChars="0" w:left="0" w:right="0"/>
              <w:keepNext/>
            </w:pPr>
            <w:r>
              <w:t>-210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-155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Immobilizzazioni c/vendite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-10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Materiali di consumo</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-64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Carburanti</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-55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Altre materie prime</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Variazione rimanenze acquisti</w:t>
            </w:r>
          </w:p>
        </w:tc>
        <w:tc>
          <w:tcPr>
            <w:cnfStyle w:evenVBand="true" w:oddVBand="false" w:firstColumn="false"/>
            <w:tcW w:w="11.434303%" w:type="pct"/>
          </w:tcPr>
          <w:p>
            <w:pPr>
              <w:pStyle w:val="table-level-1"/>
              <w:ind w:leftChars="0" w:left="0" w:right="0"/>
              <w:keepNext/>
            </w:pPr>
            <w:r>
              <w:t>11,9</w:t>
            </w:r>
          </w:p>
        </w:tc>
        <w:tc>
          <w:tcPr>
            <w:cnfStyle w:evenVBand="false" w:oddVBand="true" w:firstColumn="false"/>
            <w:tcW w:w="11.434303%" w:type="pct"/>
          </w:tcPr>
          <w:p>
            <w:pPr>
              <w:pStyle w:val="table-level-1"/>
              <w:ind w:leftChars="0" w:left="0" w:right="0"/>
              <w:keepNext/>
            </w:pPr>
            <w:r>
              <w:t>8,9</w:t>
            </w:r>
          </w:p>
        </w:tc>
        <w:tc>
          <w:tcPr>
            <w:cnfStyle w:evenVBand="true" w:oddVBand="false" w:firstColumn="false"/>
            <w:tcW w:w="11.434303%" w:type="pct"/>
          </w:tcPr>
          <w:p>
            <w:pPr>
              <w:pStyle w:val="table-level-1"/>
              <w:ind w:leftChars="0" w:left="0" w:right="0"/>
              <w:keepNext/>
            </w:pPr>
            <w:r>
              <w:t>6,55</w:t>
            </w:r>
          </w:p>
        </w:tc>
        <w:tc>
          <w:tcPr>
            <w:cnfStyle w:evenVBand="false" w:oddVBand="true" w:firstColumn="false"/>
            <w:tcW w:w="11.434303%" w:type="pct"/>
          </w:tcPr>
          <w:p>
            <w:pPr>
              <w:pStyle w:val="table-level-1"/>
              <w:ind w:leftChars="0" w:left="0" w:right="0"/>
              <w:keepNext/>
            </w:pPr>
            <w:r>
              <w:t>1,95</w:t>
            </w:r>
          </w:p>
        </w:tc>
        <w:tc>
          <w:tcPr>
            <w:cnfStyle w:evenVBand="true" w:oddVBand="false" w:firstColumn="false"/>
            <w:tcW w:w="11.434303%" w:type="pct"/>
          </w:tcPr>
          <w:p>
            <w:pPr>
              <w:pStyle w:val="table-level-1"/>
              <w:ind w:leftChars="0" w:left="0" w:right="0"/>
              <w:keepNext/>
            </w:pPr>
            <w:r>
              <w:t>1,95</w:t>
            </w:r>
          </w:p>
        </w:tc>
        <w:tc>
          <w:tcPr>
            <w:cnfStyle w:evenVBand="false" w:oddVBand="true" w:firstColumn="false"/>
            <w:tcW w:w="11.434303%" w:type="pct"/>
          </w:tcPr>
          <w:p>
            <w:pPr>
              <w:pStyle w:val="table-level-1"/>
              <w:ind w:leftChars="0" w:left="0" w:right="0"/>
              <w:keepNext/>
            </w:pPr>
            <w:r>
              <w:t>1,95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Variazioni materie prime</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0,2</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0,2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Variazioni materie sussidiarie</w:t>
            </w:r>
          </w:p>
        </w:tc>
        <w:tc>
          <w:tcPr>
            <w:cnfStyle w:evenVBand="true" w:oddVBand="false" w:firstColumn="false"/>
            <w:tcW w:w="11.434303%" w:type="pct"/>
          </w:tcPr>
          <w:p>
            <w:pPr>
              <w:pStyle w:val="table-level-0"/>
              <w:ind w:leftChars="0" w:left="0" w:right="0"/>
              <w:keepNext/>
            </w:pPr>
            <w:r>
              <w:t>-0,1</w:t>
            </w:r>
          </w:p>
        </w:tc>
        <w:tc>
          <w:tcPr>
            <w:cnfStyle w:evenVBand="false" w:oddVBand="true" w:firstColumn="false"/>
            <w:tcW w:w="11.434303%" w:type="pct"/>
          </w:tcPr>
          <w:p>
            <w:pPr>
              <w:pStyle w:val="table-level-0"/>
              <w:ind w:leftChars="0" w:left="0" w:right="0"/>
              <w:keepNext/>
            </w:pPr>
            <w:r>
              <w:t>0,15</w:t>
            </w:r>
          </w:p>
        </w:tc>
        <w:tc>
          <w:tcPr>
            <w:cnfStyle w:evenVBand="true" w:oddVBand="false" w:firstColumn="false"/>
            <w:tcW w:w="11.434303%" w:type="pct"/>
          </w:tcPr>
          <w:p>
            <w:pPr>
              <w:pStyle w:val="table-level-0"/>
              <w:ind w:leftChars="0" w:left="0" w:right="0"/>
              <w:keepNext/>
            </w:pPr>
            <w:r>
              <w:t>0,05</w:t>
            </w:r>
          </w:p>
        </w:tc>
        <w:tc>
          <w:tcPr>
            <w:cnfStyle w:evenVBand="false" w:oddVBand="true" w:firstColumn="false"/>
            <w:tcW w:w="11.434303%" w:type="pct"/>
          </w:tcPr>
          <w:p>
            <w:pPr>
              <w:pStyle w:val="table-level-0"/>
              <w:ind w:leftChars="0" w:left="0" w:right="0"/>
              <w:keepNext/>
            </w:pPr>
            <w:r>
              <w:t>0,15</w:t>
            </w:r>
          </w:p>
        </w:tc>
        <w:tc>
          <w:tcPr>
            <w:cnfStyle w:evenVBand="true" w:oddVBand="false" w:firstColumn="false"/>
            <w:tcW w:w="11.434303%" w:type="pct"/>
          </w:tcPr>
          <w:p>
            <w:pPr>
              <w:pStyle w:val="table-level-0"/>
              <w:ind w:leftChars="0" w:left="0" w:right="0"/>
              <w:keepNext/>
            </w:pPr>
            <w:r>
              <w:t>0,15</w:t>
            </w:r>
          </w:p>
        </w:tc>
        <w:tc>
          <w:tcPr>
            <w:cnfStyle w:evenVBand="false" w:oddVBand="true" w:firstColumn="false"/>
            <w:tcW w:w="11.434303%" w:type="pct"/>
          </w:tcPr>
          <w:p>
            <w:pPr>
              <w:pStyle w:val="table-level-0"/>
              <w:ind w:leftChars="0" w:left="0" w:right="0"/>
              <w:keepNext/>
            </w:pPr>
            <w:r>
              <w:t>0,15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Variazioni semilavorati</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0,3</w:t>
            </w:r>
          </w:p>
        </w:tc>
        <w:tc>
          <w:tcPr>
            <w:cnfStyle w:evenVBand="true" w:oddVBand="false" w:firstColumn="false"/>
            <w:tcW w:w="11.434303%" w:type="pct"/>
          </w:tcPr>
          <w:p>
            <w:pPr>
              <w:pStyle w:val="table-level-0"/>
              <w:ind w:leftChars="0" w:left="0" w:right="0"/>
              <w:keepNext/>
            </w:pPr>
            <w:r>
              <w:t>0,3</w:t>
            </w:r>
          </w:p>
        </w:tc>
        <w:tc>
          <w:tcPr>
            <w:cnfStyle w:evenVBand="false" w:oddVBand="true" w:firstColumn="false"/>
            <w:tcW w:w="11.434303%" w:type="pct"/>
          </w:tcPr>
          <w:p>
            <w:pPr>
              <w:pStyle w:val="table-level-0"/>
              <w:ind w:leftChars="0" w:left="0" w:right="0"/>
              <w:keepNext/>
            </w:pPr>
            <w:r>
              <w:t>0,3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 prodotti in lavorazione</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0,4</w:t>
            </w:r>
          </w:p>
        </w:tc>
        <w:tc>
          <w:tcPr>
            <w:cnfStyle w:evenVBand="true" w:oddVBand="false" w:firstColumn="false"/>
            <w:tcW w:w="11.434303%" w:type="pct"/>
          </w:tcPr>
          <w:p>
            <w:pPr>
              <w:pStyle w:val="table-level-0"/>
              <w:ind w:leftChars="0" w:left="0" w:right="0"/>
              <w:keepNext/>
            </w:pPr>
            <w:r>
              <w:t>0,4</w:t>
            </w:r>
          </w:p>
        </w:tc>
        <w:tc>
          <w:tcPr>
            <w:cnfStyle w:evenVBand="false" w:oddVBand="true" w:firstColumn="false"/>
            <w:tcW w:w="11.434303%" w:type="pct"/>
          </w:tcPr>
          <w:p>
            <w:pPr>
              <w:pStyle w:val="table-level-0"/>
              <w:ind w:leftChars="0" w:left="0" w:right="0"/>
              <w:keepNext/>
            </w:pPr>
            <w:r>
              <w:t>0,4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Variazioni merci</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Variazione immobilizz. in corso</w:t>
            </w:r>
          </w:p>
        </w:tc>
        <w:tc>
          <w:tcPr>
            <w:cnfStyle w:evenVBand="true" w:oddVBand="false" w:firstColumn="false"/>
            <w:tcW w:w="11.434303%" w:type="pct"/>
          </w:tcPr>
          <w:p>
            <w:pPr>
              <w:pStyle w:val="table-level-0"/>
              <w:ind w:leftChars="0" w:left="0" w:right="0"/>
              <w:keepNext/>
            </w:pPr>
            <w:r>
              <w:t>0,42</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Variazioni materiali consumo</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0,75</w:t>
            </w:r>
          </w:p>
        </w:tc>
        <w:tc>
          <w:tcPr>
            <w:cnfStyle w:evenVBand="true" w:oddVBand="false" w:firstColumn="false"/>
            <w:tcW w:w="11.434303%" w:type="pct"/>
          </w:tcPr>
          <w:p>
            <w:pPr>
              <w:pStyle w:val="table-level-0"/>
              <w:ind w:leftChars="0" w:left="0" w:right="0"/>
              <w:keepNext/>
            </w:pPr>
            <w:r>
              <w:t>0,5</w:t>
            </w:r>
          </w:p>
        </w:tc>
        <w:tc>
          <w:tcPr>
            <w:cnfStyle w:evenVBand="false" w:oddVBand="true" w:firstColumn="false"/>
            <w:tcW w:w="11.434303%" w:type="pct"/>
          </w:tcPr>
          <w:p>
            <w:pPr>
              <w:pStyle w:val="table-level-0"/>
              <w:ind w:leftChars="0" w:left="0" w:right="0"/>
              <w:keepNext/>
            </w:pPr>
            <w:r>
              <w:t>0,4</w:t>
            </w:r>
          </w:p>
        </w:tc>
        <w:tc>
          <w:tcPr>
            <w:cnfStyle w:evenVBand="true" w:oddVBand="false" w:firstColumn="false"/>
            <w:tcW w:w="11.434303%" w:type="pct"/>
          </w:tcPr>
          <w:p>
            <w:pPr>
              <w:pStyle w:val="table-level-0"/>
              <w:ind w:leftChars="0" w:left="0" w:right="0"/>
              <w:keepNext/>
            </w:pPr>
            <w:r>
              <w:t>0,4</w:t>
            </w:r>
          </w:p>
        </w:tc>
        <w:tc>
          <w:tcPr>
            <w:cnfStyle w:evenVBand="false" w:oddVBand="true" w:firstColumn="false"/>
            <w:tcW w:w="11.434303%" w:type="pct"/>
          </w:tcPr>
          <w:p>
            <w:pPr>
              <w:pStyle w:val="table-level-0"/>
              <w:ind w:leftChars="0" w:left="0" w:right="0"/>
              <w:keepNext/>
            </w:pPr>
            <w:r>
              <w:t>0,4</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9489c45190dd5bde181e95ef2f9d7f7d">
              <w:r>
                <w:rPr>
                  <w:rStyle w:val="Hyperlink"/>
                </w:rPr>
                <w:t>Servizi</w:t>
              </w:r>
            </w:hyperlink>
          </w:p>
        </w:tc>
        <w:tc>
          <w:tcPr>
            <w:cnfStyle w:evenVBand="true" w:oddVBand="false" w:firstColumn="false"/>
            <w:tcW w:w="11.434303%" w:type="pct"/>
          </w:tcPr>
          <w:p>
            <w:pPr>
              <w:pStyle w:val="table-level-1"/>
              <w:ind w:leftChars="0" w:left="0" w:right="0"/>
              <w:keepNext/>
            </w:pPr>
            <w:r>
              <w:t>-2.995</w:t>
            </w:r>
          </w:p>
        </w:tc>
        <w:tc>
          <w:tcPr>
            <w:cnfStyle w:evenVBand="false" w:oddVBand="true" w:firstColumn="false"/>
            <w:tcW w:w="11.434303%" w:type="pct"/>
          </w:tcPr>
          <w:p>
            <w:pPr>
              <w:pStyle w:val="table-level-1"/>
              <w:ind w:leftChars="0" w:left="0" w:right="0"/>
              <w:keepNext/>
            </w:pPr>
            <w:r>
              <w:t>-2.560</w:t>
            </w:r>
          </w:p>
        </w:tc>
        <w:tc>
          <w:tcPr>
            <w:cnfStyle w:evenVBand="true" w:oddVBand="false" w:firstColumn="false"/>
            <w:tcW w:w="11.434303%" w:type="pct"/>
          </w:tcPr>
          <w:p>
            <w:pPr>
              <w:pStyle w:val="table-level-1"/>
              <w:ind w:leftChars="0" w:left="0" w:right="0"/>
              <w:keepNext/>
            </w:pPr>
            <w:r>
              <w:t>-2.080</w:t>
            </w:r>
          </w:p>
        </w:tc>
        <w:tc>
          <w:tcPr>
            <w:cnfStyle w:evenVBand="false" w:oddVBand="true" w:firstColumn="false"/>
            <w:tcW w:w="11.434303%" w:type="pct"/>
          </w:tcPr>
          <w:p>
            <w:pPr>
              <w:pStyle w:val="table-level-1"/>
              <w:ind w:leftChars="0" w:left="0" w:right="0"/>
              <w:keepNext/>
            </w:pPr>
            <w:r>
              <w:t>-1.950</w:t>
            </w:r>
          </w:p>
        </w:tc>
        <w:tc>
          <w:tcPr>
            <w:cnfStyle w:evenVBand="true" w:oddVBand="false" w:firstColumn="false"/>
            <w:tcW w:w="11.434303%" w:type="pct"/>
          </w:tcPr>
          <w:p>
            <w:pPr>
              <w:pStyle w:val="table-level-1"/>
              <w:ind w:leftChars="0" w:left="0" w:right="0"/>
              <w:keepNext/>
            </w:pPr>
            <w:r>
              <w:t>-1.625</w:t>
            </w:r>
          </w:p>
        </w:tc>
        <w:tc>
          <w:tcPr>
            <w:cnfStyle w:evenVBand="false" w:oddVBand="true" w:firstColumn="false"/>
            <w:tcW w:w="11.434303%" w:type="pct"/>
          </w:tcPr>
          <w:p>
            <w:pPr>
              <w:pStyle w:val="table-level-1"/>
              <w:ind w:leftChars="0" w:left="0" w:right="0"/>
              <w:keepNext/>
            </w:pPr>
            <w:r>
              <w:t>-1.442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4c7aff62d0c46132aea3626ed937edb1">
              <w:r>
                <w:rPr>
                  <w:rStyle w:val="Hyperlink"/>
                </w:rPr>
                <w:t>Generali e amministrative</w:t>
              </w:r>
            </w:hyperlink>
          </w:p>
        </w:tc>
        <w:tc>
          <w:tcPr>
            <w:cnfStyle w:evenVBand="true" w:oddVBand="false" w:firstColumn="false"/>
            <w:tcW w:w="11.434303%" w:type="pct"/>
          </w:tcPr>
          <w:p>
            <w:pPr>
              <w:pStyle w:val="table-level-0"/>
              <w:ind w:leftChars="0" w:left="0" w:right="0"/>
              <w:keepNext/>
            </w:pPr>
            <w:r>
              <w:t>-1.280</w:t>
            </w:r>
          </w:p>
        </w:tc>
        <w:tc>
          <w:tcPr>
            <w:cnfStyle w:evenVBand="false" w:oddVBand="true" w:firstColumn="false"/>
            <w:tcW w:w="11.434303%" w:type="pct"/>
          </w:tcPr>
          <w:p>
            <w:pPr>
              <w:pStyle w:val="table-level-0"/>
              <w:ind w:leftChars="0" w:left="0" w:right="0"/>
              <w:keepNext/>
            </w:pPr>
            <w:r>
              <w:t>-1.210</w:t>
            </w:r>
          </w:p>
        </w:tc>
        <w:tc>
          <w:tcPr>
            <w:cnfStyle w:evenVBand="true" w:oddVBand="false" w:firstColumn="false"/>
            <w:tcW w:w="11.434303%" w:type="pct"/>
          </w:tcPr>
          <w:p>
            <w:pPr>
              <w:pStyle w:val="table-level-0"/>
              <w:ind w:leftChars="0" w:left="0" w:right="0"/>
              <w:keepNext/>
            </w:pPr>
            <w:r>
              <w:t>-1.015</w:t>
            </w:r>
          </w:p>
        </w:tc>
        <w:tc>
          <w:tcPr>
            <w:cnfStyle w:evenVBand="false" w:oddVBand="true" w:firstColumn="false"/>
            <w:tcW w:w="11.434303%" w:type="pct"/>
          </w:tcPr>
          <w:p>
            <w:pPr>
              <w:pStyle w:val="table-level-0"/>
              <w:ind w:leftChars="0" w:left="0" w:right="0"/>
              <w:keepNext/>
            </w:pPr>
            <w:r>
              <w:t>-985</w:t>
            </w:r>
          </w:p>
        </w:tc>
        <w:tc>
          <w:tcPr>
            <w:cnfStyle w:evenVBand="true" w:oddVBand="false" w:firstColumn="false"/>
            <w:tcW w:w="11.434303%" w:type="pct"/>
          </w:tcPr>
          <w:p>
            <w:pPr>
              <w:pStyle w:val="table-level-0"/>
              <w:ind w:leftChars="0" w:left="0" w:right="0"/>
              <w:keepNext/>
            </w:pPr>
            <w:r>
              <w:t>-810</w:t>
            </w:r>
          </w:p>
        </w:tc>
        <w:tc>
          <w:tcPr>
            <w:cnfStyle w:evenVBand="false" w:oddVBand="true" w:firstColumn="false"/>
            <w:tcW w:w="11.434303%" w:type="pct"/>
          </w:tcPr>
          <w:p>
            <w:pPr>
              <w:pStyle w:val="table-level-0"/>
              <w:ind w:leftChars="0" w:left="0" w:right="0"/>
              <w:keepNext/>
            </w:pPr>
            <w:r>
              <w:t>-747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Spese per trasporti</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-180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-140</w:t>
            </w:r>
          </w:p>
        </w:tc>
        <w:tc>
          <w:tcPr>
            <w:cnfStyle w:evenVBand="false" w:oddVBand="true" w:firstColumn="false"/>
            <w:tcW w:w="11.434303%" w:type="pct"/>
          </w:tcPr>
          <w:p>
            <w:pPr>
              <w:pStyle w:val="table-level-0"/>
              <w:ind w:leftChars="0" w:left="0" w:right="0"/>
              <w:keepNext/>
            </w:pPr>
            <w:r>
              <w:t>-120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per automezzi</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Prestazioni professionali</w:t>
            </w:r>
          </w:p>
        </w:tc>
        <w:tc>
          <w:tcPr>
            <w:cnfStyle w:evenVBand="true" w:oddVBand="false" w:firstColumn="false"/>
            <w:tcW w:w="11.434303%" w:type="pct"/>
          </w:tcPr>
          <w:p>
            <w:pPr>
              <w:pStyle w:val="table-level-0"/>
              <w:ind w:leftChars="0" w:left="0" w:right="0"/>
              <w:keepNext/>
            </w:pPr>
            <w:r>
              <w:t>-160</w:t>
            </w:r>
          </w:p>
        </w:tc>
        <w:tc>
          <w:tcPr>
            <w:cnfStyle w:evenVBand="false" w:oddVBand="true" w:firstColumn="false"/>
            <w:tcW w:w="11.434303%" w:type="pct"/>
          </w:tcPr>
          <w:p>
            <w:pPr>
              <w:pStyle w:val="table-level-0"/>
              <w:ind w:leftChars="0" w:left="0" w:right="0"/>
              <w:keepNext/>
            </w:pPr>
            <w:r>
              <w:t>-180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-140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Prestazioni di terzi</w:t>
            </w:r>
          </w:p>
        </w:tc>
        <w:tc>
          <w:tcPr>
            <w:cnfStyle w:evenVBand="true" w:oddVBand="false" w:firstColumn="false"/>
            <w:tcW w:w="11.434303%" w:type="pct"/>
          </w:tcPr>
          <w:p>
            <w:pPr>
              <w:pStyle w:val="table-level-0"/>
              <w:ind w:leftChars="0" w:left="0" w:right="0"/>
              <w:keepNext/>
            </w:pPr>
            <w:r>
              <w:t>-185</w:t>
            </w:r>
          </w:p>
        </w:tc>
        <w:tc>
          <w:tcPr>
            <w:cnfStyle w:evenVBand="false" w:oddVBand="true" w:firstColumn="false"/>
            <w:tcW w:w="11.434303%" w:type="pct"/>
          </w:tcPr>
          <w:p>
            <w:pPr>
              <w:pStyle w:val="table-level-0"/>
              <w:ind w:leftChars="0" w:left="0" w:right="0"/>
              <w:keepNext/>
            </w:pPr>
            <w:r>
              <w:t>-160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Canoni di assistenza tecnica</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-90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di manutenzione</w:t>
            </w:r>
          </w:p>
        </w:tc>
        <w:tc>
          <w:tcPr>
            <w:cnfStyle w:evenVBand="true" w:oddVBand="false" w:firstColumn="false"/>
            <w:tcW w:w="11.434303%" w:type="pct"/>
          </w:tcPr>
          <w:p>
            <w:pPr>
              <w:pStyle w:val="table-level-0"/>
              <w:ind w:leftChars="0" w:left="0" w:right="0"/>
              <w:keepNext/>
            </w:pPr>
            <w:r>
              <w:t>-105</w:t>
            </w:r>
          </w:p>
        </w:tc>
        <w:tc>
          <w:tcPr>
            <w:cnfStyle w:evenVBand="false" w:oddVBand="true" w:firstColumn="false"/>
            <w:tcW w:w="11.434303%" w:type="pct"/>
          </w:tcPr>
          <w:p>
            <w:pPr>
              <w:pStyle w:val="table-level-0"/>
              <w:ind w:leftChars="0" w:left="0" w:right="0"/>
              <w:keepNext/>
            </w:pPr>
            <w:r>
              <w:t>-85</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-40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Assicurazioni</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-45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Consulenze tecniche</w:t>
            </w:r>
          </w:p>
        </w:tc>
        <w:tc>
          <w:tcPr>
            <w:cnfStyle w:evenVBand="true" w:oddVBand="false" w:firstColumn="false"/>
            <w:tcW w:w="11.434303%" w:type="pct"/>
          </w:tcPr>
          <w:p>
            <w:pPr>
              <w:pStyle w:val="table-level-0"/>
              <w:ind w:leftChars="0" w:left="0" w:right="0"/>
              <w:keepNext/>
            </w:pPr>
            <w:r>
              <w:t>-190</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-90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Pubblicità e promozione</w:t>
            </w:r>
          </w:p>
        </w:tc>
        <w:tc>
          <w:tcPr>
            <w:cnfStyle w:evenVBand="true" w:oddVBand="false" w:firstColumn="false"/>
            <w:tcW w:w="11.434303%" w:type="pct"/>
          </w:tcPr>
          <w:p>
            <w:pPr>
              <w:pStyle w:val="table-level-0"/>
              <w:ind w:leftChars="0" w:left="0" w:right="0"/>
              <w:keepNext/>
            </w:pPr>
            <w:r>
              <w:t>-140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di rappresentanza</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Servizi commerciali</w:t>
            </w:r>
          </w:p>
        </w:tc>
        <w:tc>
          <w:tcPr>
            <w:cnfStyle w:evenVBand="true" w:oddVBand="false" w:firstColumn="false"/>
            <w:tcW w:w="11.434303%" w:type="pct"/>
          </w:tcPr>
          <w:p>
            <w:pPr>
              <w:pStyle w:val="table-level-0"/>
              <w:ind w:leftChars="0" w:left="0" w:right="0"/>
              <w:keepNext/>
            </w:pPr>
            <w:r>
              <w:t>-190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Servizi diversi</w:t>
            </w:r>
          </w:p>
        </w:tc>
        <w:tc>
          <w:tcPr>
            <w:cnfStyle w:evenVBand="true" w:oddVBand="false" w:firstColumn="false"/>
            <w:tcW w:w="11.434303%" w:type="pct"/>
          </w:tcPr>
          <w:p>
            <w:pPr>
              <w:pStyle w:val="table-level-0"/>
              <w:ind w:leftChars="0" w:left="0" w:right="0"/>
              <w:keepNext/>
            </w:pPr>
            <w:r>
              <w:t>-95</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11da469f45d1ca9bbf8f211887729a4">
              <w:r>
                <w:rPr>
                  <w:rStyle w:val="Hyperlink"/>
                </w:rPr>
                <w:t>Godimento di beni di terzi</w:t>
              </w:r>
            </w:hyperlink>
          </w:p>
        </w:tc>
        <w:tc>
          <w:tcPr>
            <w:cnfStyle w:evenVBand="true" w:oddVBand="false" w:firstColumn="false"/>
            <w:tcW w:w="11.434303%" w:type="pct"/>
          </w:tcPr>
          <w:p>
            <w:pPr>
              <w:pStyle w:val="table-level-1"/>
              <w:ind w:leftChars="0" w:left="0" w:right="0"/>
              <w:keepNext/>
            </w:pPr>
            <w:r>
              <w:t>-126</w:t>
            </w:r>
          </w:p>
        </w:tc>
        <w:tc>
          <w:tcPr>
            <w:cnfStyle w:evenVBand="false" w:oddVBand="true" w:firstColumn="false"/>
            <w:tcW w:w="11.434303%" w:type="pct"/>
          </w:tcPr>
          <w:p>
            <w:pPr>
              <w:pStyle w:val="table-level-1"/>
              <w:ind w:leftChars="0" w:left="0" w:right="0"/>
              <w:keepNext/>
            </w:pPr>
            <w:r>
              <w:t>-112</w:t>
            </w:r>
          </w:p>
        </w:tc>
        <w:tc>
          <w:tcPr>
            <w:cnfStyle w:evenVBand="true" w:oddVBand="false" w:firstColumn="false"/>
            <w:tcW w:w="11.434303%" w:type="pct"/>
          </w:tcPr>
          <w:p>
            <w:pPr>
              <w:pStyle w:val="table-level-1"/>
              <w:ind w:leftChars="0" w:left="0" w:right="0"/>
              <w:keepNext/>
            </w:pPr>
            <w:r>
              <w:t>-102,5</w:t>
            </w:r>
          </w:p>
        </w:tc>
        <w:tc>
          <w:tcPr>
            <w:cnfStyle w:evenVBand="false" w:oddVBand="true" w:firstColumn="false"/>
            <w:tcW w:w="11.434303%" w:type="pct"/>
          </w:tcPr>
          <w:p>
            <w:pPr>
              <w:pStyle w:val="table-level-1"/>
              <w:ind w:leftChars="0" w:left="0" w:right="0"/>
              <w:keepNext/>
            </w:pPr>
            <w:r>
              <w:t>-95</w:t>
            </w:r>
          </w:p>
        </w:tc>
        <w:tc>
          <w:tcPr>
            <w:cnfStyle w:evenVBand="true" w:oddVBand="false" w:firstColumn="false"/>
            <w:tcW w:w="11.434303%" w:type="pct"/>
          </w:tcPr>
          <w:p>
            <w:pPr>
              <w:pStyle w:val="table-level-1"/>
              <w:ind w:leftChars="0" w:left="0" w:right="0"/>
              <w:keepNext/>
            </w:pPr>
            <w:r>
              <w:t>-77,5</w:t>
            </w:r>
          </w:p>
        </w:tc>
        <w:tc>
          <w:tcPr>
            <w:cnfStyle w:evenVBand="false" w:oddVBand="true" w:firstColumn="false"/>
            <w:tcW w:w="11.434303%" w:type="pct"/>
          </w:tcPr>
          <w:p>
            <w:pPr>
              <w:pStyle w:val="table-level-1"/>
              <w:ind w:leftChars="0" w:left="0" w:right="0"/>
              <w:keepNext/>
            </w:pPr>
            <w:r>
              <w:t>-185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Affitti e locazioni passivi</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-31,5</w:t>
            </w:r>
          </w:p>
        </w:tc>
        <w:tc>
          <w:tcPr>
            <w:cnfStyle w:evenVBand="false" w:oddVBand="true" w:firstColumn="false"/>
            <w:tcW w:w="11.434303%" w:type="pct"/>
          </w:tcPr>
          <w:p>
            <w:pPr>
              <w:pStyle w:val="table-level-0"/>
              <w:ind w:leftChars="0" w:left="0" w:right="0"/>
              <w:keepNext/>
            </w:pPr>
            <w:r>
              <w:t>-57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Royalties, diritti d’autore</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-28</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-21,5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Noleggi passivi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-10,5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Quota interessi leasing</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-9</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Manutenzioni su beni di terzi</w:t>
            </w:r>
          </w:p>
        </w:tc>
        <w:tc>
          <w:tcPr>
            <w:cnfStyle w:evenVBand="true" w:oddVBand="false" w:firstColumn="false"/>
            <w:tcW w:w="11.434303%" w:type="pct"/>
          </w:tcPr>
          <w:p>
            <w:pPr>
              <w:pStyle w:val="table-level-0"/>
              <w:ind w:leftChars="0" w:left="0" w:right="0"/>
              <w:keepNext/>
            </w:pPr>
            <w:r>
              <w:t>-19</w:t>
            </w:r>
          </w:p>
        </w:tc>
        <w:tc>
          <w:tcPr>
            <w:cnfStyle w:evenVBand="false" w:oddVBand="true" w:firstColumn="false"/>
            <w:tcW w:w="11.434303%" w:type="pct"/>
          </w:tcPr>
          <w:p>
            <w:pPr>
              <w:pStyle w:val="table-level-0"/>
              <w:ind w:leftChars="0" w:left="0" w:right="0"/>
              <w:keepNext/>
            </w:pPr>
            <w:r>
              <w:t>-17</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-11,5</w:t>
            </w:r>
          </w:p>
        </w:tc>
        <w:tc>
          <w:tcPr>
            <w:cnfStyle w:evenVBand="false" w:oddVBand="true" w:firstColumn="false"/>
            <w:tcW w:w="11.434303%" w:type="pct"/>
          </w:tcPr>
          <w:p>
            <w:pPr>
              <w:pStyle w:val="table-level-0"/>
              <w:ind w:leftChars="0" w:left="0" w:right="0"/>
              <w:keepNext/>
            </w:pPr>
            <w:r>
              <w:t>-8</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31e1edc15acaabb6eb7bdcad23dfaca">
              <w:r>
                <w:rPr>
                  <w:rStyle w:val="Hyperlink"/>
                </w:rPr>
                <w:t>Personale</w:t>
              </w:r>
            </w:hyperlink>
          </w:p>
        </w:tc>
        <w:tc>
          <w:tcPr>
            <w:cnfStyle w:evenVBand="true" w:oddVBand="false" w:firstColumn="false"/>
            <w:tcW w:w="11.434303%" w:type="pct"/>
          </w:tcPr>
          <w:p>
            <w:pPr>
              <w:pStyle w:val="table-level-1"/>
              <w:ind w:leftChars="0" w:left="0" w:right="0"/>
              <w:keepNext/>
            </w:pPr>
            <w:r>
              <w:t>-983</w:t>
            </w:r>
          </w:p>
        </w:tc>
        <w:tc>
          <w:tcPr>
            <w:cnfStyle w:evenVBand="false" w:oddVBand="true" w:firstColumn="false"/>
            <w:tcW w:w="11.434303%" w:type="pct"/>
          </w:tcPr>
          <w:p>
            <w:pPr>
              <w:pStyle w:val="table-level-1"/>
              <w:ind w:leftChars="0" w:left="0" w:right="0"/>
              <w:keepNext/>
            </w:pPr>
            <w:r>
              <w:t>-929</w:t>
            </w:r>
          </w:p>
        </w:tc>
        <w:tc>
          <w:tcPr>
            <w:cnfStyle w:evenVBand="true" w:oddVBand="false" w:firstColumn="false"/>
            <w:tcW w:w="11.434303%" w:type="pct"/>
          </w:tcPr>
          <w:p>
            <w:pPr>
              <w:pStyle w:val="table-level-1"/>
              <w:ind w:leftChars="0" w:left="0" w:right="0"/>
              <w:keepNext/>
            </w:pPr>
            <w:r>
              <w:t>-810</w:t>
            </w:r>
          </w:p>
        </w:tc>
        <w:tc>
          <w:tcPr>
            <w:cnfStyle w:evenVBand="false" w:oddVBand="true" w:firstColumn="false"/>
            <w:tcW w:w="11.434303%" w:type="pct"/>
          </w:tcPr>
          <w:p>
            <w:pPr>
              <w:pStyle w:val="table-level-1"/>
              <w:ind w:leftChars="0" w:left="0" w:right="0"/>
              <w:keepNext/>
            </w:pPr>
            <w:r>
              <w:t>-760</w:t>
            </w:r>
          </w:p>
        </w:tc>
        <w:tc>
          <w:tcPr>
            <w:cnfStyle w:evenVBand="true" w:oddVBand="false" w:firstColumn="false"/>
            <w:tcW w:w="11.434303%" w:type="pct"/>
          </w:tcPr>
          <w:p>
            <w:pPr>
              <w:pStyle w:val="table-level-1"/>
              <w:ind w:leftChars="0" w:left="0" w:right="0"/>
              <w:keepNext/>
            </w:pPr>
            <w:r>
              <w:t>-720</w:t>
            </w:r>
          </w:p>
        </w:tc>
        <w:tc>
          <w:tcPr>
            <w:cnfStyle w:evenVBand="false" w:oddVBand="true" w:firstColumn="false"/>
            <w:tcW w:w="11.434303%" w:type="pct"/>
          </w:tcPr>
          <w:p>
            <w:pPr>
              <w:pStyle w:val="table-level-1"/>
              <w:ind w:leftChars="0" w:left="0" w:right="0"/>
              <w:keepNext/>
            </w:pPr>
            <w:r>
              <w:t>-690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Salari e stipendi</w:t>
            </w:r>
          </w:p>
        </w:tc>
        <w:tc>
          <w:tcPr>
            <w:cnfStyle w:evenVBand="true" w:oddVBand="false" w:firstColumn="false"/>
            <w:tcW w:w="11.434303%" w:type="pct"/>
          </w:tcPr>
          <w:p>
            <w:pPr>
              <w:pStyle w:val="table-level-0"/>
              <w:ind w:leftChars="0" w:left="0" w:right="0"/>
              <w:keepNext/>
            </w:pPr>
            <w:r>
              <w:t>-715</w:t>
            </w:r>
          </w:p>
        </w:tc>
        <w:tc>
          <w:tcPr>
            <w:cnfStyle w:evenVBand="false" w:oddVBand="true" w:firstColumn="false"/>
            <w:tcW w:w="11.434303%" w:type="pct"/>
          </w:tcPr>
          <w:p>
            <w:pPr>
              <w:pStyle w:val="table-level-0"/>
              <w:ind w:leftChars="0" w:left="0" w:right="0"/>
              <w:keepNext/>
            </w:pPr>
            <w:r>
              <w:t>-690</w:t>
            </w:r>
          </w:p>
        </w:tc>
        <w:tc>
          <w:tcPr>
            <w:cnfStyle w:evenVBand="true" w:oddVBand="false" w:firstColumn="false"/>
            <w:tcW w:w="11.434303%" w:type="pct"/>
          </w:tcPr>
          <w:p>
            <w:pPr>
              <w:pStyle w:val="table-level-0"/>
              <w:ind w:leftChars="0" w:left="0" w:right="0"/>
              <w:keepNext/>
            </w:pPr>
            <w:r>
              <w:t>-600</w:t>
            </w:r>
          </w:p>
        </w:tc>
        <w:tc>
          <w:tcPr>
            <w:cnfStyle w:evenVBand="false" w:oddVBand="true" w:firstColumn="false"/>
            <w:tcW w:w="11.434303%" w:type="pct"/>
          </w:tcPr>
          <w:p>
            <w:pPr>
              <w:pStyle w:val="table-level-0"/>
              <w:ind w:leftChars="0" w:left="0" w:right="0"/>
              <w:keepNext/>
            </w:pPr>
            <w:r>
              <w:t>-600</w:t>
            </w:r>
          </w:p>
        </w:tc>
        <w:tc>
          <w:tcPr>
            <w:cnfStyle w:evenVBand="true" w:oddVBand="false" w:firstColumn="false"/>
            <w:tcW w:w="11.434303%" w:type="pct"/>
          </w:tcPr>
          <w:p>
            <w:pPr>
              <w:pStyle w:val="table-level-0"/>
              <w:ind w:leftChars="0" w:left="0" w:right="0"/>
              <w:keepNext/>
            </w:pPr>
            <w:r>
              <w:t>-585</w:t>
            </w:r>
          </w:p>
        </w:tc>
        <w:tc>
          <w:tcPr>
            <w:cnfStyle w:evenVBand="false" w:oddVBand="true" w:firstColumn="false"/>
            <w:tcW w:w="11.434303%" w:type="pct"/>
          </w:tcPr>
          <w:p>
            <w:pPr>
              <w:pStyle w:val="table-level-0"/>
              <w:ind w:leftChars="0" w:left="0" w:right="0"/>
              <w:keepNext/>
            </w:pPr>
            <w:r>
              <w:t>-570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Oneri sociali</w:t>
            </w:r>
          </w:p>
        </w:tc>
        <w:tc>
          <w:tcPr>
            <w:cnfStyle w:evenVBand="true" w:oddVBand="false" w:firstColumn="false"/>
            <w:tcW w:w="11.434303%" w:type="pct"/>
          </w:tcPr>
          <w:p>
            <w:pPr>
              <w:pStyle w:val="table-level-0"/>
              <w:ind w:leftChars="0" w:left="0" w:right="0"/>
              <w:keepNext/>
            </w:pPr>
            <w:r>
              <w:t>-88</w:t>
            </w:r>
          </w:p>
        </w:tc>
        <w:tc>
          <w:tcPr>
            <w:cnfStyle w:evenVBand="false" w:oddVBand="true" w:firstColumn="false"/>
            <w:tcW w:w="11.434303%" w:type="pct"/>
          </w:tcPr>
          <w:p>
            <w:pPr>
              <w:pStyle w:val="table-level-0"/>
              <w:ind w:leftChars="0" w:left="0" w:right="0"/>
              <w:keepNext/>
            </w:pPr>
            <w:r>
              <w:t>-84</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TFR e trattamento quiescenza</w:t>
            </w:r>
          </w:p>
        </w:tc>
        <w:tc>
          <w:tcPr>
            <w:cnfStyle w:evenVBand="true" w:oddVBand="false" w:firstColumn="false"/>
            <w:tcW w:w="11.434303%" w:type="pct"/>
          </w:tcPr>
          <w:p>
            <w:pPr>
              <w:pStyle w:val="table-level-0"/>
              <w:ind w:leftChars="0" w:left="0" w:right="0"/>
              <w:keepNext/>
            </w:pPr>
            <w:r>
              <w:t>-110</w:t>
            </w:r>
          </w:p>
        </w:tc>
        <w:tc>
          <w:tcPr>
            <w:cnfStyle w:evenVBand="false" w:oddVBand="true" w:firstColumn="false"/>
            <w:tcW w:w="11.434303%" w:type="pct"/>
          </w:tcPr>
          <w:p>
            <w:pPr>
              <w:pStyle w:val="table-level-0"/>
              <w:ind w:leftChars="0" w:left="0" w:right="0"/>
              <w:keepNext/>
            </w:pPr>
            <w:r>
              <w:t>-105</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costi del personale</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fb9d00da0cb0252a2b01f666265ace05">
              <w:r>
                <w:rPr>
                  <w:rStyle w:val="Hyperlink"/>
                </w:rPr>
                <w:t>Accantonamenti rischi e oneri</w:t>
              </w:r>
            </w:hyperlink>
          </w:p>
        </w:tc>
        <w:tc>
          <w:tcPr>
            <w:cnfStyle w:evenVBand="true" w:oddVBand="false" w:firstColumn="false"/>
            <w:tcW w:w="11.434303%" w:type="pct"/>
          </w:tcPr>
          <w:p>
            <w:pPr>
              <w:pStyle w:val="table-level-1"/>
              <w:ind w:leftChars="0" w:left="0" w:right="0"/>
              <w:keepNext/>
            </w:pPr>
            <w:r>
              <w:t>-20</w:t>
            </w:r>
          </w:p>
        </w:tc>
        <w:tc>
          <w:tcPr>
            <w:cnfStyle w:evenVBand="false" w:oddVBand="true" w:firstColumn="false"/>
            <w:tcW w:w="11.434303%" w:type="pct"/>
          </w:tcPr>
          <w:p>
            <w:pPr>
              <w:pStyle w:val="table-level-1"/>
              <w:ind w:leftChars="0" w:left="0" w:right="0"/>
              <w:keepNext/>
            </w:pPr>
            <w:r>
              <w:t>-15</w:t>
            </w:r>
          </w:p>
        </w:tc>
        <w:tc>
          <w:tcPr>
            <w:cnfStyle w:evenVBand="true" w:oddVBand="false" w:firstColumn="false"/>
            <w:tcW w:w="11.434303%" w:type="pct"/>
          </w:tcPr>
          <w:p>
            <w:pPr>
              <w:pStyle w:val="table-level-1"/>
              <w:ind w:leftChars="0" w:left="0" w:right="0"/>
              <w:keepNext/>
            </w:pPr>
            <w:r>
              <w:t>-25</w:t>
            </w:r>
          </w:p>
        </w:tc>
        <w:tc>
          <w:tcPr>
            <w:cnfStyle w:evenVBand="false" w:oddVBand="true" w:firstColumn="false"/>
            <w:tcW w:w="11.434303%" w:type="pct"/>
          </w:tcPr>
          <w:p>
            <w:pPr>
              <w:pStyle w:val="table-level-1"/>
              <w:ind w:leftChars="0" w:left="0" w:right="0"/>
              <w:keepNext/>
            </w:pPr>
            <w:r>
              <w:t>-25</w:t>
            </w:r>
          </w:p>
        </w:tc>
        <w:tc>
          <w:tcPr>
            <w:cnfStyle w:evenVBand="true" w:oddVBand="false" w:firstColumn="false"/>
            <w:tcW w:w="11.434303%" w:type="pct"/>
          </w:tcPr>
          <w:p>
            <w:pPr>
              <w:pStyle w:val="table-level-1"/>
              <w:ind w:leftChars="0" w:left="0" w:right="0"/>
              <w:keepNext/>
            </w:pPr>
            <w:r>
              <w:t>-45</w:t>
            </w:r>
          </w:p>
        </w:tc>
        <w:tc>
          <w:tcPr>
            <w:cnfStyle w:evenVBand="false" w:oddVBand="true" w:firstColumn="false"/>
            <w:tcW w:w="11.434303%" w:type="pct"/>
          </w:tcPr>
          <w:p>
            <w:pPr>
              <w:pStyle w:val="table-level-1"/>
              <w:ind w:leftChars="0" w:left="0" w:right="0"/>
              <w:keepNext/>
            </w:pPr>
            <w:r>
              <w:t>-27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0f83851ac160a36e5cd8a71827c28d6">
              <w:r>
                <w:rPr>
                  <w:rStyle w:val="Hyperlink"/>
                </w:rPr>
                <w:t>Oneri di gestione</w:t>
              </w:r>
            </w:hyperlink>
          </w:p>
        </w:tc>
        <w:tc>
          <w:tcPr>
            <w:cnfStyle w:evenVBand="true" w:oddVBand="false" w:firstColumn="false"/>
            <w:tcW w:w="11.434303%" w:type="pct"/>
          </w:tcPr>
          <w:p>
            <w:pPr>
              <w:pStyle w:val="table-level-1"/>
              <w:ind w:leftChars="0" w:left="0" w:right="0"/>
              <w:keepNext/>
            </w:pPr>
            <w:r>
              <w:t>-118</w:t>
            </w:r>
          </w:p>
        </w:tc>
        <w:tc>
          <w:tcPr>
            <w:cnfStyle w:evenVBand="false" w:oddVBand="true" w:firstColumn="false"/>
            <w:tcW w:w="11.434303%" w:type="pct"/>
          </w:tcPr>
          <w:p>
            <w:pPr>
              <w:pStyle w:val="table-level-1"/>
              <w:ind w:leftChars="0" w:left="0" w:right="0"/>
              <w:keepNext/>
            </w:pPr>
            <w:r>
              <w:t>-115</w:t>
            </w:r>
          </w:p>
        </w:tc>
        <w:tc>
          <w:tcPr>
            <w:cnfStyle w:evenVBand="true" w:oddVBand="false" w:firstColumn="false"/>
            <w:tcW w:w="11.434303%" w:type="pct"/>
          </w:tcPr>
          <w:p>
            <w:pPr>
              <w:pStyle w:val="table-level-1"/>
              <w:ind w:leftChars="0" w:left="0" w:right="0"/>
              <w:keepNext/>
            </w:pPr>
            <w:r>
              <w:t>-106</w:t>
            </w:r>
          </w:p>
        </w:tc>
        <w:tc>
          <w:tcPr>
            <w:cnfStyle w:evenVBand="false" w:oddVBand="true" w:firstColumn="false"/>
            <w:tcW w:w="11.434303%" w:type="pct"/>
          </w:tcPr>
          <w:p>
            <w:pPr>
              <w:pStyle w:val="table-level-1"/>
              <w:ind w:leftChars="0" w:left="0" w:right="0"/>
              <w:keepNext/>
            </w:pPr>
            <w:r>
              <w:t>-100</w:t>
            </w:r>
          </w:p>
        </w:tc>
        <w:tc>
          <w:tcPr>
            <w:cnfStyle w:evenVBand="true" w:oddVBand="false" w:firstColumn="false"/>
            <w:tcW w:w="11.434303%" w:type="pct"/>
          </w:tcPr>
          <w:p>
            <w:pPr>
              <w:pStyle w:val="table-level-1"/>
              <w:ind w:leftChars="0" w:left="0" w:right="0"/>
              <w:keepNext/>
            </w:pPr>
            <w:r>
              <w:t>-60</w:t>
            </w:r>
          </w:p>
        </w:tc>
        <w:tc>
          <w:tcPr>
            <w:cnfStyle w:evenVBand="false" w:oddVBand="true" w:firstColumn="false"/>
            <w:tcW w:w="11.434303%" w:type="pct"/>
          </w:tcPr>
          <w:p>
            <w:pPr>
              <w:pStyle w:val="table-level-1"/>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Oneri diversi di gestione</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-26</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IMU</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-34</w:t>
            </w:r>
          </w:p>
        </w:tc>
        <w:tc>
          <w:tcPr>
            <w:cnfStyle w:evenVBand="true" w:oddVBand="false" w:firstColumn="false"/>
            <w:tcW w:w="11.434303%" w:type="pct"/>
          </w:tcPr>
          <w:p>
            <w:pPr>
              <w:pStyle w:val="table-level-0"/>
              <w:ind w:leftChars="0" w:left="0" w:right="0"/>
              <w:keepNext/>
            </w:pPr>
            <w:r>
              <w:t>-31</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varie</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-18</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Sopravvenienze passive</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-32</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-10</w:t>
            </w:r>
          </w:p>
        </w:tc>
      </w:tr>
      <w:tr>
        <w:trPr>
          <w:cnfStyle w:evenHBand="true" w:oddHBand="false" w:firstRow="false"/>
          <w:cantSplit/>
        </w:trPr>
        <w:tc>
          <w:tcPr>
            <w:cnfStyle w:evenVBand="false" w:oddVBand="true" w:firstColumn="false"/>
            <w:tcW w:w="31.394183%" w:type="pct"/>
          </w:tcPr>
          <w:p>
            <w:pPr>
              <w:pStyle w:val="index-table-level-300"/>
              <w:ind w:leftChars="0" w:left="0" w:right="0"/>
              <w:keepNext/>
            </w:pPr>
            <w:r>
              <w:t>Reddito operativo lordo</w:t>
            </w:r>
          </w:p>
        </w:tc>
        <w:tc>
          <w:tcPr>
            <w:cnfStyle w:evenVBand="true" w:oddVBand="false" w:firstColumn="false"/>
            <w:tcW w:w="11.434303%" w:type="pct"/>
          </w:tcPr>
          <w:p>
            <w:pPr>
              <w:pStyle w:val="table-level-300"/>
              <w:ind w:leftChars="0" w:left="0" w:right="0"/>
              <w:keepNext/>
            </w:pPr>
            <w:r>
              <w:t>1.573</w:t>
            </w:r>
          </w:p>
        </w:tc>
        <w:tc>
          <w:tcPr>
            <w:cnfStyle w:evenVBand="false" w:oddVBand="true" w:firstColumn="false"/>
            <w:tcW w:w="11.434303%" w:type="pct"/>
          </w:tcPr>
          <w:p>
            <w:pPr>
              <w:pStyle w:val="table-level-300"/>
              <w:ind w:leftChars="0" w:left="0" w:right="0"/>
              <w:keepNext/>
            </w:pPr>
            <w:r>
              <w:t>1.746</w:t>
            </w:r>
          </w:p>
        </w:tc>
        <w:tc>
          <w:tcPr>
            <w:cnfStyle w:evenVBand="true" w:oddVBand="false" w:firstColumn="false"/>
            <w:tcW w:w="11.434303%" w:type="pct"/>
          </w:tcPr>
          <w:p>
            <w:pPr>
              <w:pStyle w:val="table-level-300"/>
              <w:ind w:leftChars="0" w:left="0" w:right="0"/>
              <w:keepNext/>
            </w:pPr>
            <w:r>
              <w:t>1.772</w:t>
            </w:r>
          </w:p>
        </w:tc>
        <w:tc>
          <w:tcPr>
            <w:cnfStyle w:evenVBand="false" w:oddVBand="true" w:firstColumn="false"/>
            <w:tcW w:w="11.434303%" w:type="pct"/>
          </w:tcPr>
          <w:p>
            <w:pPr>
              <w:pStyle w:val="table-level-300"/>
              <w:ind w:leftChars="0" w:left="0" w:right="0"/>
              <w:keepNext/>
            </w:pPr>
            <w:r>
              <w:t>1.455</w:t>
            </w:r>
          </w:p>
        </w:tc>
        <w:tc>
          <w:tcPr>
            <w:cnfStyle w:evenVBand="true" w:oddVBand="false" w:firstColumn="false"/>
            <w:tcW w:w="11.434303%" w:type="pct"/>
          </w:tcPr>
          <w:p>
            <w:pPr>
              <w:pStyle w:val="table-level-300"/>
              <w:ind w:leftChars="0" w:left="0" w:right="0"/>
              <w:keepNext/>
            </w:pPr>
            <w:r>
              <w:t>888,2</w:t>
            </w:r>
          </w:p>
        </w:tc>
        <w:tc>
          <w:tcPr>
            <w:cnfStyle w:evenVBand="false" w:oddVBand="true" w:firstColumn="false"/>
            <w:tcW w:w="11.434303%" w:type="pct"/>
          </w:tcPr>
          <w:p>
            <w:pPr>
              <w:pStyle w:val="table-level-300"/>
              <w:ind w:leftChars="0" w:left="0" w:right="0"/>
              <w:keepNext/>
            </w:pPr>
            <w:r>
              <w:t>1.086</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hyperlink w:anchor="_60e0795f9b504537b805cbec55378a88">
              <w:r>
                <w:rPr>
                  <w:rStyle w:val="Hyperlink"/>
                </w:rPr>
                <w:t>Ammortamenti e svalutazioni</w:t>
              </w:r>
            </w:hyperlink>
          </w:p>
        </w:tc>
        <w:tc>
          <w:tcPr>
            <w:cnfStyle w:evenVBand="true" w:oddVBand="false" w:firstColumn="false"/>
            <w:tcW w:w="11.434303%" w:type="pct"/>
          </w:tcPr>
          <w:p>
            <w:pPr>
              <w:pStyle w:val="table-level-2"/>
              <w:ind w:leftChars="0" w:left="0" w:right="0"/>
              <w:keepNext/>
            </w:pPr>
            <w:r>
              <w:t>-405,4</w:t>
            </w:r>
          </w:p>
        </w:tc>
        <w:tc>
          <w:tcPr>
            <w:cnfStyle w:evenVBand="false" w:oddVBand="true" w:firstColumn="false"/>
            <w:tcW w:w="11.434303%" w:type="pct"/>
          </w:tcPr>
          <w:p>
            <w:pPr>
              <w:pStyle w:val="table-level-2"/>
              <w:ind w:leftChars="0" w:left="0" w:right="0"/>
              <w:keepNext/>
            </w:pPr>
            <w:r>
              <w:t>-345,8</w:t>
            </w:r>
          </w:p>
        </w:tc>
        <w:tc>
          <w:tcPr>
            <w:cnfStyle w:evenVBand="true" w:oddVBand="false" w:firstColumn="false"/>
            <w:tcW w:w="11.434303%" w:type="pct"/>
          </w:tcPr>
          <w:p>
            <w:pPr>
              <w:pStyle w:val="table-level-2"/>
              <w:ind w:leftChars="0" w:left="0" w:right="0"/>
              <w:keepNext/>
            </w:pPr>
            <w:r>
              <w:t>-274,7</w:t>
            </w:r>
          </w:p>
        </w:tc>
        <w:tc>
          <w:tcPr>
            <w:cnfStyle w:evenVBand="false" w:oddVBand="true" w:firstColumn="false"/>
            <w:tcW w:w="11.434303%" w:type="pct"/>
          </w:tcPr>
          <w:p>
            <w:pPr>
              <w:pStyle w:val="table-level-2"/>
              <w:ind w:leftChars="0" w:left="0" w:right="0"/>
              <w:keepNext/>
            </w:pPr>
            <w:r>
              <w:t>-251,7</w:t>
            </w:r>
          </w:p>
        </w:tc>
        <w:tc>
          <w:tcPr>
            <w:cnfStyle w:evenVBand="true" w:oddVBand="false" w:firstColumn="false"/>
            <w:tcW w:w="11.434303%" w:type="pct"/>
          </w:tcPr>
          <w:p>
            <w:pPr>
              <w:pStyle w:val="table-level-2"/>
              <w:ind w:leftChars="0" w:left="0" w:right="0"/>
              <w:keepNext/>
            </w:pPr>
            <w:r>
              <w:t>-214,7</w:t>
            </w:r>
          </w:p>
        </w:tc>
        <w:tc>
          <w:tcPr>
            <w:cnfStyle w:evenVBand="false" w:oddVBand="true" w:firstColumn="false"/>
            <w:tcW w:w="11.434303%" w:type="pct"/>
          </w:tcPr>
          <w:p>
            <w:pPr>
              <w:pStyle w:val="table-level-2"/>
              <w:ind w:leftChars="0" w:left="0" w:right="0"/>
              <w:keepNext/>
            </w:pPr>
            <w:r>
              <w:t>-184,1</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7ab22a4aa44ee65d88c3f8c0dc702674">
              <w:r>
                <w:rPr>
                  <w:rStyle w:val="Hyperlink"/>
                </w:rPr>
                <w:t>Ammortamenti</w:t>
              </w:r>
            </w:hyperlink>
          </w:p>
        </w:tc>
        <w:tc>
          <w:tcPr>
            <w:cnfStyle w:evenVBand="true" w:oddVBand="false" w:firstColumn="false"/>
            <w:tcW w:w="11.434303%" w:type="pct"/>
          </w:tcPr>
          <w:p>
            <w:pPr>
              <w:pStyle w:val="table-level-1"/>
              <w:ind w:leftChars="0" w:left="0" w:right="0"/>
              <w:keepNext/>
            </w:pPr>
            <w:r>
              <w:t>-403,4</w:t>
            </w:r>
          </w:p>
        </w:tc>
        <w:tc>
          <w:tcPr>
            <w:cnfStyle w:evenVBand="false" w:oddVBand="true" w:firstColumn="false"/>
            <w:tcW w:w="11.434303%" w:type="pct"/>
          </w:tcPr>
          <w:p>
            <w:pPr>
              <w:pStyle w:val="table-level-1"/>
              <w:ind w:leftChars="0" w:left="0" w:right="0"/>
              <w:keepNext/>
            </w:pPr>
            <w:r>
              <w:t>-343,8</w:t>
            </w:r>
          </w:p>
        </w:tc>
        <w:tc>
          <w:tcPr>
            <w:cnfStyle w:evenVBand="true" w:oddVBand="false" w:firstColumn="false"/>
            <w:tcW w:w="11.434303%" w:type="pct"/>
          </w:tcPr>
          <w:p>
            <w:pPr>
              <w:pStyle w:val="table-level-1"/>
              <w:ind w:leftChars="0" w:left="0" w:right="0"/>
              <w:keepNext/>
            </w:pPr>
            <w:r>
              <w:t>-273,2</w:t>
            </w:r>
          </w:p>
        </w:tc>
        <w:tc>
          <w:tcPr>
            <w:cnfStyle w:evenVBand="false" w:oddVBand="true" w:firstColumn="false"/>
            <w:tcW w:w="11.434303%" w:type="pct"/>
          </w:tcPr>
          <w:p>
            <w:pPr>
              <w:pStyle w:val="table-level-1"/>
              <w:ind w:leftChars="0" w:left="0" w:right="0"/>
              <w:keepNext/>
            </w:pPr>
            <w:r>
              <w:t>-249,2</w:t>
            </w:r>
          </w:p>
        </w:tc>
        <w:tc>
          <w:tcPr>
            <w:cnfStyle w:evenVBand="true" w:oddVBand="false" w:firstColumn="false"/>
            <w:tcW w:w="11.434303%" w:type="pct"/>
          </w:tcPr>
          <w:p>
            <w:pPr>
              <w:pStyle w:val="table-level-1"/>
              <w:ind w:leftChars="0" w:left="0" w:right="0"/>
              <w:keepNext/>
            </w:pPr>
            <w:r>
              <w:t>-211,2</w:t>
            </w:r>
          </w:p>
        </w:tc>
        <w:tc>
          <w:tcPr>
            <w:cnfStyle w:evenVBand="false" w:oddVBand="true" w:firstColumn="false"/>
            <w:tcW w:w="11.434303%" w:type="pct"/>
          </w:tcPr>
          <w:p>
            <w:pPr>
              <w:pStyle w:val="table-level-1"/>
              <w:ind w:leftChars="0" w:left="0" w:right="0"/>
              <w:keepNext/>
            </w:pPr>
            <w:r>
              <w:t>-180,6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Ammortamenti immob. mat.</w:t>
            </w:r>
          </w:p>
        </w:tc>
        <w:tc>
          <w:tcPr>
            <w:cnfStyle w:evenVBand="true" w:oddVBand="false" w:firstColumn="false"/>
            <w:tcW w:w="11.434303%" w:type="pct"/>
          </w:tcPr>
          <w:p>
            <w:pPr>
              <w:pStyle w:val="table-level-0"/>
              <w:ind w:leftChars="0" w:left="0" w:right="0"/>
              <w:keepNext/>
            </w:pPr>
            <w:r>
              <w:t>-363,5</w:t>
            </w:r>
          </w:p>
        </w:tc>
        <w:tc>
          <w:tcPr>
            <w:cnfStyle w:evenVBand="false" w:oddVBand="true" w:firstColumn="false"/>
            <w:tcW w:w="11.434303%" w:type="pct"/>
          </w:tcPr>
          <w:p>
            <w:pPr>
              <w:pStyle w:val="table-level-0"/>
              <w:ind w:leftChars="0" w:left="0" w:right="0"/>
              <w:keepNext/>
            </w:pPr>
            <w:r>
              <w:t>-310,2</w:t>
            </w:r>
          </w:p>
        </w:tc>
        <w:tc>
          <w:tcPr>
            <w:cnfStyle w:evenVBand="true" w:oddVBand="false" w:firstColumn="false"/>
            <w:tcW w:w="11.434303%" w:type="pct"/>
          </w:tcPr>
          <w:p>
            <w:pPr>
              <w:pStyle w:val="table-level-0"/>
              <w:ind w:leftChars="0" w:left="0" w:right="0"/>
              <w:keepNext/>
            </w:pPr>
            <w:r>
              <w:t>-243</w:t>
            </w:r>
          </w:p>
        </w:tc>
        <w:tc>
          <w:tcPr>
            <w:cnfStyle w:evenVBand="false" w:oddVBand="true" w:firstColumn="false"/>
            <w:tcW w:w="11.434303%" w:type="pct"/>
          </w:tcPr>
          <w:p>
            <w:pPr>
              <w:pStyle w:val="table-level-0"/>
              <w:ind w:leftChars="0" w:left="0" w:right="0"/>
              <w:keepNext/>
            </w:pPr>
            <w:r>
              <w:t>-225,2</w:t>
            </w:r>
          </w:p>
        </w:tc>
        <w:tc>
          <w:tcPr>
            <w:cnfStyle w:evenVBand="true" w:oddVBand="false" w:firstColumn="false"/>
            <w:tcW w:w="11.434303%" w:type="pct"/>
          </w:tcPr>
          <w:p>
            <w:pPr>
              <w:pStyle w:val="table-level-0"/>
              <w:ind w:leftChars="0" w:left="0" w:right="0"/>
              <w:keepNext/>
            </w:pPr>
            <w:r>
              <w:t>-189,2</w:t>
            </w:r>
          </w:p>
        </w:tc>
        <w:tc>
          <w:tcPr>
            <w:cnfStyle w:evenVBand="false" w:oddVBand="true" w:firstColumn="false"/>
            <w:tcW w:w="11.434303%" w:type="pct"/>
          </w:tcPr>
          <w:p>
            <w:pPr>
              <w:pStyle w:val="table-level-0"/>
              <w:ind w:leftChars="0" w:left="0" w:right="0"/>
              <w:keepNext/>
            </w:pPr>
            <w:r>
              <w:t>-159,4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Ammortamenti immob. immat.</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-33,5</w:t>
            </w:r>
          </w:p>
        </w:tc>
        <w:tc>
          <w:tcPr>
            <w:cnfStyle w:evenVBand="true" w:oddVBand="false" w:firstColumn="false"/>
            <w:tcW w:w="11.434303%" w:type="pct"/>
          </w:tcPr>
          <w:p>
            <w:pPr>
              <w:pStyle w:val="table-level-0"/>
              <w:ind w:leftChars="0" w:left="0" w:right="0"/>
              <w:keepNext/>
            </w:pPr>
            <w:r>
              <w:t>-30,2</w:t>
            </w:r>
          </w:p>
        </w:tc>
        <w:tc>
          <w:tcPr>
            <w:cnfStyle w:evenVBand="false" w:oddVBand="true" w:firstColumn="false"/>
            <w:tcW w:w="11.434303%" w:type="pct"/>
          </w:tcPr>
          <w:p>
            <w:pPr>
              <w:pStyle w:val="table-level-0"/>
              <w:ind w:leftChars="0" w:left="0" w:right="0"/>
              <w:keepNext/>
            </w:pPr>
            <w:r>
              <w:t>-24</w:t>
            </w:r>
          </w:p>
        </w:tc>
        <w:tc>
          <w:tcPr>
            <w:cnfStyle w:evenVBand="true" w:oddVBand="false" w:firstColumn="false"/>
            <w:tcW w:w="11.434303%" w:type="pct"/>
          </w:tcPr>
          <w:p>
            <w:pPr>
              <w:pStyle w:val="table-level-0"/>
              <w:ind w:leftChars="0" w:left="0" w:right="0"/>
              <w:keepNext/>
            </w:pPr>
            <w:r>
              <w:t>-22</w:t>
            </w:r>
          </w:p>
        </w:tc>
        <w:tc>
          <w:tcPr>
            <w:cnfStyle w:evenVBand="false" w:oddVBand="true" w:firstColumn="false"/>
            <w:tcW w:w="11.434303%" w:type="pct"/>
          </w:tcPr>
          <w:p>
            <w:pPr>
              <w:pStyle w:val="table-level-0"/>
              <w:ind w:leftChars="0" w:left="0" w:right="0"/>
              <w:keepNext/>
            </w:pPr>
            <w:r>
              <w:t>-21,2</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4bbf09fba80798327fabea461779ae6">
              <w:r>
                <w:rPr>
                  <w:rStyle w:val="Hyperlink"/>
                </w:rPr>
                <w:t>Svalutazioni immob. e crediti</w:t>
              </w:r>
            </w:hyperlink>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-1,5</w:t>
            </w:r>
          </w:p>
        </w:tc>
        <w:tc>
          <w:tcPr>
            <w:cnfStyle w:evenVBand="false" w:oddVBand="true" w:firstColumn="false"/>
            <w:tcW w:w="11.434303%" w:type="pct"/>
          </w:tcPr>
          <w:p>
            <w:pPr>
              <w:pStyle w:val="table-level-1"/>
              <w:ind w:leftChars="0" w:left="0" w:right="0"/>
              <w:keepNext/>
            </w:pPr>
            <w:r>
              <w:t>-2,5</w:t>
            </w:r>
          </w:p>
        </w:tc>
        <w:tc>
          <w:tcPr>
            <w:cnfStyle w:evenVBand="true" w:oddVBand="false" w:firstColumn="false"/>
            <w:tcW w:w="11.434303%" w:type="pct"/>
          </w:tcPr>
          <w:p>
            <w:pPr>
              <w:pStyle w:val="table-level-1"/>
              <w:ind w:leftChars="0" w:left="0" w:right="0"/>
              <w:keepNext/>
            </w:pPr>
            <w:r>
              <w:t>-3,5</w:t>
            </w:r>
          </w:p>
        </w:tc>
        <w:tc>
          <w:tcPr>
            <w:cnfStyle w:evenVBand="false" w:oddVBand="true" w:firstColumn="false"/>
            <w:tcW w:w="11.434303%" w:type="pct"/>
          </w:tcPr>
          <w:p>
            <w:pPr>
              <w:pStyle w:val="table-level-1"/>
              <w:ind w:leftChars="0" w:left="0" w:right="0"/>
              <w:keepNext/>
            </w:pPr>
            <w:r>
              <w:t>-3,5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Svalutazioni nell’attivo circolante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Svalutazioni di immobilizzazioni</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-1,5</w:t>
            </w:r>
          </w:p>
        </w:tc>
      </w:tr>
      <w:tr>
        <w:trPr>
          <w:cnfStyle w:evenHBand="true" w:oddHBand="false" w:firstRow="false"/>
          <w:cantSplit/>
        </w:trPr>
        <w:tc>
          <w:tcPr>
            <w:cnfStyle w:evenVBand="false" w:oddVBand="true" w:firstColumn="false"/>
            <w:tcW w:w="31.394183%" w:type="pct"/>
          </w:tcPr>
          <w:p>
            <w:pPr>
              <w:pStyle w:val="index-table-level-300"/>
              <w:ind w:leftChars="0" w:left="0" w:right="0"/>
              <w:keepNext/>
            </w:pPr>
            <w:hyperlink w:anchor="_35393d0452d9eb2940c4cb6a28a38f1a">
              <w:r>
                <w:rPr>
                  <w:rStyle w:val="Hyperlink"/>
                </w:rPr>
                <w:t>Reddito operativo</w:t>
              </w:r>
            </w:hyperlink>
          </w:p>
        </w:tc>
        <w:tc>
          <w:tcPr>
            <w:cnfStyle w:evenVBand="true" w:oddVBand="false" w:firstColumn="false"/>
            <w:tcW w:w="11.434303%" w:type="pct"/>
          </w:tcPr>
          <w:p>
            <w:pPr>
              <w:pStyle w:val="table-level-300"/>
              <w:ind w:leftChars="0" w:left="0" w:right="0"/>
              <w:keepNext/>
            </w:pPr>
            <w:r>
              <w:t>1.168</w:t>
            </w:r>
          </w:p>
        </w:tc>
        <w:tc>
          <w:tcPr>
            <w:cnfStyle w:evenVBand="false" w:oddVBand="true" w:firstColumn="false"/>
            <w:tcW w:w="11.434303%" w:type="pct"/>
          </w:tcPr>
          <w:p>
            <w:pPr>
              <w:pStyle w:val="table-level-300"/>
              <w:ind w:leftChars="0" w:left="0" w:right="0"/>
              <w:keepNext/>
            </w:pPr>
            <w:r>
              <w:t>1.400</w:t>
            </w:r>
          </w:p>
        </w:tc>
        <w:tc>
          <w:tcPr>
            <w:cnfStyle w:evenVBand="true" w:oddVBand="false" w:firstColumn="false"/>
            <w:tcW w:w="11.434303%" w:type="pct"/>
          </w:tcPr>
          <w:p>
            <w:pPr>
              <w:pStyle w:val="table-level-300"/>
              <w:ind w:leftChars="0" w:left="0" w:right="0"/>
              <w:keepNext/>
            </w:pPr>
            <w:r>
              <w:t>1.497</w:t>
            </w:r>
          </w:p>
        </w:tc>
        <w:tc>
          <w:tcPr>
            <w:cnfStyle w:evenVBand="false" w:oddVBand="true" w:firstColumn="false"/>
            <w:tcW w:w="11.434303%" w:type="pct"/>
          </w:tcPr>
          <w:p>
            <w:pPr>
              <w:pStyle w:val="table-level-300"/>
              <w:ind w:leftChars="0" w:left="0" w:right="0"/>
              <w:keepNext/>
            </w:pPr>
            <w:r>
              <w:t>1.204</w:t>
            </w:r>
          </w:p>
        </w:tc>
        <w:tc>
          <w:tcPr>
            <w:cnfStyle w:evenVBand="true" w:oddVBand="false" w:firstColumn="false"/>
            <w:tcW w:w="11.434303%" w:type="pct"/>
          </w:tcPr>
          <w:p>
            <w:pPr>
              <w:pStyle w:val="table-level-300"/>
              <w:ind w:leftChars="0" w:left="0" w:right="0"/>
              <w:keepNext/>
            </w:pPr>
            <w:r>
              <w:t>673,6</w:t>
            </w:r>
          </w:p>
        </w:tc>
        <w:tc>
          <w:tcPr>
            <w:cnfStyle w:evenVBand="false" w:oddVBand="true" w:firstColumn="false"/>
            <w:tcW w:w="11.434303%" w:type="pct"/>
          </w:tcPr>
          <w:p>
            <w:pPr>
              <w:pStyle w:val="table-level-300"/>
              <w:ind w:leftChars="0" w:left="0" w:right="0"/>
              <w:keepNext/>
            </w:pPr>
            <w:r>
              <w:t>901,8</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r>
              <w:t>Proventi/oneri finanziari</w:t>
            </w:r>
          </w:p>
        </w:tc>
        <w:tc>
          <w:tcPr>
            <w:cnfStyle w:evenVBand="true" w:oddVBand="false" w:firstColumn="false"/>
            <w:tcW w:w="11.434303%" w:type="pct"/>
          </w:tcPr>
          <w:p>
            <w:pPr>
              <w:pStyle w:val="table-level-2"/>
              <w:ind w:leftChars="0" w:left="0" w:right="0"/>
              <w:keepNext/>
            </w:pPr>
            <w:r>
              <w:t>-218,6</w:t>
            </w:r>
          </w:p>
        </w:tc>
        <w:tc>
          <w:tcPr>
            <w:cnfStyle w:evenVBand="false" w:oddVBand="true" w:firstColumn="false"/>
            <w:tcW w:w="11.434303%" w:type="pct"/>
          </w:tcPr>
          <w:p>
            <w:pPr>
              <w:pStyle w:val="table-level-2"/>
              <w:ind w:leftChars="0" w:left="0" w:right="0"/>
              <w:keepNext/>
            </w:pPr>
            <w:r>
              <w:t>-205,7</w:t>
            </w:r>
          </w:p>
        </w:tc>
        <w:tc>
          <w:tcPr>
            <w:cnfStyle w:evenVBand="true" w:oddVBand="false" w:firstColumn="false"/>
            <w:tcW w:w="11.434303%" w:type="pct"/>
          </w:tcPr>
          <w:p>
            <w:pPr>
              <w:pStyle w:val="table-level-2"/>
              <w:ind w:leftChars="0" w:left="0" w:right="0"/>
              <w:keepNext/>
            </w:pPr>
            <w:r>
              <w:t>-197,4</w:t>
            </w:r>
          </w:p>
        </w:tc>
        <w:tc>
          <w:tcPr>
            <w:cnfStyle w:evenVBand="false" w:oddVBand="true" w:firstColumn="false"/>
            <w:tcW w:w="11.434303%" w:type="pct"/>
          </w:tcPr>
          <w:p>
            <w:pPr>
              <w:pStyle w:val="table-level-2"/>
              <w:ind w:leftChars="0" w:left="0" w:right="0"/>
              <w:keepNext/>
            </w:pPr>
            <w:r>
              <w:t>-193,8</w:t>
            </w:r>
          </w:p>
        </w:tc>
        <w:tc>
          <w:tcPr>
            <w:cnfStyle w:evenVBand="true" w:oddVBand="false" w:firstColumn="false"/>
            <w:tcW w:w="11.434303%" w:type="pct"/>
          </w:tcPr>
          <w:p>
            <w:pPr>
              <w:pStyle w:val="table-level-2"/>
              <w:ind w:leftChars="0" w:left="0" w:right="0"/>
              <w:keepNext/>
            </w:pPr>
            <w:r>
              <w:t>-180</w:t>
            </w:r>
          </w:p>
        </w:tc>
        <w:tc>
          <w:tcPr>
            <w:cnfStyle w:evenVBand="false" w:oddVBand="true" w:firstColumn="false"/>
            <w:tcW w:w="11.434303%" w:type="pct"/>
          </w:tcPr>
          <w:p>
            <w:pPr>
              <w:pStyle w:val="table-level-2"/>
              <w:ind w:leftChars="0" w:left="0" w:right="0"/>
              <w:keepNext/>
            </w:pPr>
            <w:r>
              <w:t>-167,2</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8d641bd68512920159375a8042dce5c2">
              <w:r>
                <w:rPr>
                  <w:rStyle w:val="Hyperlink"/>
                </w:rPr>
                <w:t>Proventi finanziari</w:t>
              </w:r>
            </w:hyperlink>
          </w:p>
        </w:tc>
        <w:tc>
          <w:tcPr>
            <w:cnfStyle w:evenVBand="true" w:oddVBand="false" w:firstColumn="false"/>
            <w:tcW w:w="11.434303%" w:type="pct"/>
          </w:tcPr>
          <w:p>
            <w:pPr>
              <w:pStyle w:val="table-level-1"/>
              <w:ind w:leftChars="0" w:left="0" w:right="0"/>
              <w:keepNext/>
            </w:pPr>
            <w:r>
              <w:t>11</w:t>
            </w:r>
          </w:p>
        </w:tc>
        <w:tc>
          <w:tcPr>
            <w:cnfStyle w:evenVBand="false" w:oddVBand="true" w:firstColumn="false"/>
            <w:tcW w:w="11.434303%" w:type="pct"/>
          </w:tcPr>
          <w:p>
            <w:pPr>
              <w:pStyle w:val="table-level-1"/>
              <w:ind w:leftChars="0" w:left="0" w:right="0"/>
              <w:keepNext/>
            </w:pPr>
            <w:r>
              <w:t>13,3</w:t>
            </w:r>
          </w:p>
        </w:tc>
        <w:tc>
          <w:tcPr>
            <w:cnfStyle w:evenVBand="true" w:oddVBand="false" w:firstColumn="false"/>
            <w:tcW w:w="11.434303%" w:type="pct"/>
          </w:tcPr>
          <w:p>
            <w:pPr>
              <w:pStyle w:val="table-level-1"/>
              <w:ind w:leftChars="0" w:left="0" w:right="0"/>
              <w:keepNext/>
            </w:pPr>
            <w:r>
              <w:t>11,5</w:t>
            </w:r>
          </w:p>
        </w:tc>
        <w:tc>
          <w:tcPr>
            <w:cnfStyle w:evenVBand="false" w:oddVBand="true" w:firstColumn="false"/>
            <w:tcW w:w="11.434303%" w:type="pct"/>
          </w:tcPr>
          <w:p>
            <w:pPr>
              <w:pStyle w:val="table-level-1"/>
              <w:ind w:leftChars="0" w:left="0" w:right="0"/>
              <w:keepNext/>
            </w:pPr>
            <w:r>
              <w:t>10,2</w:t>
            </w:r>
          </w:p>
        </w:tc>
        <w:tc>
          <w:tcPr>
            <w:cnfStyle w:evenVBand="true" w:oddVBand="false" w:firstColumn="false"/>
            <w:tcW w:w="11.434303%" w:type="pct"/>
          </w:tcPr>
          <w:p>
            <w:pPr>
              <w:pStyle w:val="table-level-1"/>
              <w:ind w:leftChars="0" w:left="0" w:right="0"/>
              <w:keepNext/>
            </w:pPr>
            <w:r>
              <w:t>15,2</w:t>
            </w:r>
          </w:p>
        </w:tc>
        <w:tc>
          <w:tcPr>
            <w:cnfStyle w:evenVBand="false" w:oddVBand="true" w:firstColumn="false"/>
            <w:tcW w:w="11.434303%" w:type="pct"/>
          </w:tcPr>
          <w:p>
            <w:pPr>
              <w:pStyle w:val="table-level-1"/>
              <w:ind w:leftChars="0" w:left="0" w:right="0"/>
              <w:keepNext/>
            </w:pPr>
            <w:r>
              <w:t>20,2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Proventi da partecipazioni</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4,5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Proventi da crediti finanziari</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1,1</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Proventi da titoli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attivi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proventi finanziari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c>
          <w:tcPr>
            <w:cnfStyle w:evenVBand="true" w:oddVBand="false" w:firstColumn="false"/>
            <w:tcW w:w="11.434303%" w:type="pct"/>
          </w:tcPr>
          <w:p>
            <w:pPr>
              <w:pStyle w:val="table-level-0"/>
              <w:ind w:leftChars="0" w:left="0" w:right="0"/>
              <w:keepNext/>
            </w:pPr>
            <w:r>
              <w:t>1,3</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2,2</w:t>
            </w:r>
          </w:p>
        </w:tc>
        <w:tc>
          <w:tcPr>
            <w:cnfStyle w:evenVBand="false" w:oddVBand="true" w:firstColumn="false"/>
            <w:tcW w:w="11.434303%" w:type="pct"/>
          </w:tcPr>
          <w:p>
            <w:pPr>
              <w:pStyle w:val="table-level-0"/>
              <w:ind w:leftChars="0" w:left="0" w:right="0"/>
              <w:keepNext/>
            </w:pPr>
            <w:r>
              <w:t>3,2</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bcbd8c75aba5e984a22dafd11e50d247">
              <w:r>
                <w:rPr>
                  <w:rStyle w:val="Hyperlink"/>
                </w:rPr>
                <w:t>Oneri finanziari</w:t>
              </w:r>
            </w:hyperlink>
          </w:p>
        </w:tc>
        <w:tc>
          <w:tcPr>
            <w:cnfStyle w:evenVBand="true" w:oddVBand="false" w:firstColumn="false"/>
            <w:tcW w:w="11.434303%" w:type="pct"/>
          </w:tcPr>
          <w:p>
            <w:pPr>
              <w:pStyle w:val="table-level-1"/>
              <w:ind w:leftChars="0" w:left="0" w:right="0"/>
              <w:keepNext/>
            </w:pPr>
            <w:r>
              <w:t>-234,8</w:t>
            </w:r>
          </w:p>
        </w:tc>
        <w:tc>
          <w:tcPr>
            <w:cnfStyle w:evenVBand="false" w:oddVBand="true" w:firstColumn="false"/>
            <w:tcW w:w="11.434303%" w:type="pct"/>
          </w:tcPr>
          <w:p>
            <w:pPr>
              <w:pStyle w:val="table-level-1"/>
              <w:ind w:leftChars="0" w:left="0" w:right="0"/>
              <w:keepNext/>
            </w:pPr>
            <w:r>
              <w:t>-220,7</w:t>
            </w:r>
          </w:p>
        </w:tc>
        <w:tc>
          <w:tcPr>
            <w:cnfStyle w:evenVBand="true" w:oddVBand="false" w:firstColumn="false"/>
            <w:tcW w:w="11.434303%" w:type="pct"/>
          </w:tcPr>
          <w:p>
            <w:pPr>
              <w:pStyle w:val="table-level-1"/>
              <w:ind w:leftChars="0" w:left="0" w:right="0"/>
              <w:keepNext/>
            </w:pPr>
            <w:r>
              <w:t>-210,5</w:t>
            </w:r>
          </w:p>
        </w:tc>
        <w:tc>
          <w:tcPr>
            <w:cnfStyle w:evenVBand="false" w:oddVBand="true" w:firstColumn="false"/>
            <w:tcW w:w="11.434303%" w:type="pct"/>
          </w:tcPr>
          <w:p>
            <w:pPr>
              <w:pStyle w:val="table-level-1"/>
              <w:ind w:leftChars="0" w:left="0" w:right="0"/>
              <w:keepNext/>
            </w:pPr>
            <w:r>
              <w:t>-205,5</w:t>
            </w:r>
          </w:p>
        </w:tc>
        <w:tc>
          <w:tcPr>
            <w:cnfStyle w:evenVBand="true" w:oddVBand="false" w:firstColumn="false"/>
            <w:tcW w:w="11.434303%" w:type="pct"/>
          </w:tcPr>
          <w:p>
            <w:pPr>
              <w:pStyle w:val="table-level-1"/>
              <w:ind w:leftChars="0" w:left="0" w:right="0"/>
              <w:keepNext/>
            </w:pPr>
            <w:r>
              <w:t>-201</w:t>
            </w:r>
          </w:p>
        </w:tc>
        <w:tc>
          <w:tcPr>
            <w:cnfStyle w:evenVBand="false" w:oddVBand="true" w:firstColumn="false"/>
            <w:tcW w:w="11.434303%" w:type="pct"/>
          </w:tcPr>
          <w:p>
            <w:pPr>
              <w:pStyle w:val="table-level-1"/>
              <w:ind w:leftChars="0" w:left="0" w:right="0"/>
              <w:keepNext/>
            </w:pPr>
            <w:r>
              <w:t>-194,5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obbligazioni</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finanziamenti a breve</w:t>
            </w:r>
          </w:p>
        </w:tc>
        <w:tc>
          <w:tcPr>
            <w:cnfStyle w:evenVBand="true" w:oddVBand="false" w:firstColumn="false"/>
            <w:tcW w:w="11.434303%" w:type="pct"/>
          </w:tcPr>
          <w:p>
            <w:pPr>
              <w:pStyle w:val="table-level-0"/>
              <w:ind w:leftChars="0" w:left="0" w:right="0"/>
              <w:keepNext/>
            </w:pPr>
            <w:r>
              <w:t>-82</w:t>
            </w:r>
          </w:p>
        </w:tc>
        <w:tc>
          <w:tcPr>
            <w:cnfStyle w:evenVBand="false" w:oddVBand="true" w:firstColumn="false"/>
            <w:tcW w:w="11.434303%" w:type="pct"/>
          </w:tcPr>
          <w:p>
            <w:pPr>
              <w:pStyle w:val="table-level-0"/>
              <w:ind w:leftChars="0" w:left="0" w:right="0"/>
              <w:keepNext/>
            </w:pPr>
            <w:r>
              <w:t>-77,7</w:t>
            </w:r>
          </w:p>
        </w:tc>
        <w:tc>
          <w:tcPr>
            <w:cnfStyle w:evenVBand="true" w:oddVBand="false" w:firstColumn="false"/>
            <w:tcW w:w="11.434303%" w:type="pct"/>
          </w:tcPr>
          <w:p>
            <w:pPr>
              <w:pStyle w:val="table-level-0"/>
              <w:ind w:leftChars="0" w:left="0" w:right="0"/>
              <w:keepNext/>
            </w:pPr>
            <w:r>
              <w:t>-74</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-69</w:t>
            </w:r>
          </w:p>
        </w:tc>
        <w:tc>
          <w:tcPr>
            <w:cnfStyle w:evenVBand="false" w:oddVBand="true" w:firstColumn="false"/>
            <w:tcW w:w="11.434303%" w:type="pct"/>
          </w:tcPr>
          <w:p>
            <w:pPr>
              <w:pStyle w:val="table-level-0"/>
              <w:ind w:leftChars="0" w:left="0" w:right="0"/>
              <w:keepNext/>
            </w:pPr>
            <w:r>
              <w:t>-68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finanziamenti a lungo</w:t>
            </w:r>
          </w:p>
        </w:tc>
        <w:tc>
          <w:tcPr>
            <w:cnfStyle w:evenVBand="true" w:oddVBand="false" w:firstColumn="false"/>
            <w:tcW w:w="11.434303%" w:type="pct"/>
          </w:tcPr>
          <w:p>
            <w:pPr>
              <w:pStyle w:val="table-level-0"/>
              <w:ind w:leftChars="0" w:left="0" w:right="0"/>
              <w:keepNext/>
            </w:pPr>
            <w:r>
              <w:t>-110</w:t>
            </w:r>
          </w:p>
        </w:tc>
        <w:tc>
          <w:tcPr>
            <w:cnfStyle w:evenVBand="false" w:oddVBand="true" w:firstColumn="false"/>
            <w:tcW w:w="11.434303%" w:type="pct"/>
          </w:tcPr>
          <w:p>
            <w:pPr>
              <w:pStyle w:val="table-level-0"/>
              <w:ind w:leftChars="0" w:left="0" w:right="0"/>
              <w:keepNext/>
            </w:pPr>
            <w:r>
              <w:t>-105</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-99</w:t>
            </w:r>
          </w:p>
        </w:tc>
        <w:tc>
          <w:tcPr>
            <w:cnfStyle w:evenVBand="false" w:oddVBand="true" w:firstColumn="false"/>
            <w:tcW w:w="11.434303%" w:type="pct"/>
          </w:tcPr>
          <w:p>
            <w:pPr>
              <w:pStyle w:val="table-level-0"/>
              <w:ind w:leftChars="0" w:left="0" w:right="0"/>
              <w:keepNext/>
            </w:pPr>
            <w:r>
              <w:t>-98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altri debiti finanziari</w:t>
            </w:r>
          </w:p>
        </w:tc>
        <w:tc>
          <w:tcPr>
            <w:cnfStyle w:evenVBand="true" w:oddVBand="false" w:firstColumn="false"/>
            <w:tcW w:w="11.434303%" w:type="pct"/>
          </w:tcPr>
          <w:p>
            <w:pPr>
              <w:pStyle w:val="table-level-0"/>
              <w:ind w:leftChars="0" w:left="0" w:right="0"/>
              <w:keepNext/>
            </w:pPr>
            <w:r>
              <w:t>-18</w:t>
            </w:r>
          </w:p>
        </w:tc>
        <w:tc>
          <w:tcPr>
            <w:cnfStyle w:evenVBand="false" w:oddVBand="true" w:firstColumn="false"/>
            <w:tcW w:w="11.434303%" w:type="pct"/>
          </w:tcPr>
          <w:p>
            <w:pPr>
              <w:pStyle w:val="table-level-0"/>
              <w:ind w:leftChars="0" w:left="0" w:right="0"/>
              <w:keepNext/>
            </w:pPr>
            <w:r>
              <w:t>-16</w:t>
            </w:r>
          </w:p>
        </w:tc>
        <w:tc>
          <w:tcPr>
            <w:cnfStyle w:evenVBand="true" w:oddVBand="false" w:firstColumn="false"/>
            <w:tcW w:w="11.434303%" w:type="pct"/>
          </w:tcPr>
          <w:p>
            <w:pPr>
              <w:pStyle w:val="table-level-0"/>
              <w:ind w:leftChars="0" w:left="0" w:right="0"/>
              <w:keepNext/>
            </w:pPr>
            <w:r>
              <w:t>-15,5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finanziamenti soci</w:t>
            </w:r>
          </w:p>
        </w:tc>
        <w:tc>
          <w:tcPr>
            <w:cnfStyle w:evenVBand="true" w:oddVBand="false" w:firstColumn="false"/>
            <w:tcW w:w="11.434303%" w:type="pct"/>
          </w:tcPr>
          <w:p>
            <w:pPr>
              <w:pStyle w:val="table-level-0"/>
              <w:ind w:leftChars="0" w:left="0" w:right="0"/>
              <w:keepNext/>
            </w:pPr>
            <w:r>
              <w:t>-8</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-7</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Oneri da partecipazioni</w:t>
            </w:r>
          </w:p>
        </w:tc>
        <w:tc>
          <w:tcPr>
            <w:cnfStyle w:evenVBand="true" w:oddVBand="false" w:firstColumn="false"/>
            <w:tcW w:w="11.434303%" w:type="pct"/>
          </w:tcPr>
          <w:p>
            <w:pPr>
              <w:pStyle w:val="table-level-0"/>
              <w:ind w:leftChars="0" w:left="0" w:right="0"/>
              <w:keepNext/>
            </w:pPr>
            <w:r>
              <w:t>-0,75</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-1,5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altri debiti</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-8,8</w:t>
            </w:r>
          </w:p>
        </w:tc>
        <w:tc>
          <w:tcPr>
            <w:cnfStyle w:evenVBand="true" w:oddVBand="false" w:firstColumn="false"/>
            <w:tcW w:w="11.434303%" w:type="pct"/>
          </w:tcPr>
          <w:p>
            <w:pPr>
              <w:pStyle w:val="table-level-0"/>
              <w:ind w:leftChars="0" w:left="0" w:right="0"/>
              <w:keepNext/>
            </w:pPr>
            <w:r>
              <w:t>-8,4</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5cb5ecdd803b361f7319bd4568496d4f">
              <w:r>
                <w:rPr>
                  <w:rStyle w:val="Hyperlink"/>
                </w:rPr>
                <w:t>Utili/perdite su cambi</w:t>
              </w:r>
            </w:hyperlink>
          </w:p>
        </w:tc>
        <w:tc>
          <w:tcPr>
            <w:cnfStyle w:evenVBand="true" w:oddVBand="false" w:firstColumn="false"/>
            <w:tcW w:w="11.434303%" w:type="pct"/>
          </w:tcPr>
          <w:p>
            <w:pPr>
              <w:pStyle w:val="table-level-1"/>
              <w:ind w:leftChars="0" w:left="0" w:right="0"/>
              <w:keepNext/>
            </w:pPr>
            <w:r>
              <w:t>3,9</w:t>
            </w:r>
          </w:p>
        </w:tc>
        <w:tc>
          <w:tcPr>
            <w:cnfStyle w:evenVBand="false" w:oddVBand="true" w:firstColumn="false"/>
            <w:tcW w:w="11.434303%" w:type="pct"/>
          </w:tcPr>
          <w:p>
            <w:pPr>
              <w:pStyle w:val="table-level-1"/>
              <w:ind w:leftChars="0" w:left="0" w:right="0"/>
              <w:keepNext/>
            </w:pPr>
            <w:r>
              <w:t>3,8</w:t>
            </w:r>
          </w:p>
        </w:tc>
        <w:tc>
          <w:tcPr>
            <w:cnfStyle w:evenVBand="true" w:oddVBand="false" w:firstColumn="false"/>
            <w:tcW w:w="11.434303%" w:type="pct"/>
          </w:tcPr>
          <w:p>
            <w:pPr>
              <w:pStyle w:val="table-level-1"/>
              <w:ind w:leftChars="0" w:left="0" w:right="0"/>
              <w:keepNext/>
            </w:pPr>
            <w:r>
              <w:t>2,9</w:t>
            </w:r>
          </w:p>
        </w:tc>
        <w:tc>
          <w:tcPr>
            <w:cnfStyle w:evenVBand="false" w:oddVBand="true" w:firstColumn="false"/>
            <w:tcW w:w="11.434303%" w:type="pct"/>
          </w:tcPr>
          <w:p>
            <w:pPr>
              <w:pStyle w:val="table-level-1"/>
              <w:ind w:leftChars="0" w:left="0" w:right="0"/>
              <w:keepNext/>
            </w:pPr>
            <w:r>
              <w:t>2,7</w:t>
            </w:r>
          </w:p>
        </w:tc>
        <w:tc>
          <w:tcPr>
            <w:cnfStyle w:evenVBand="true" w:oddVBand="false" w:firstColumn="false"/>
            <w:tcW w:w="11.434303%" w:type="pct"/>
          </w:tcPr>
          <w:p>
            <w:pPr>
              <w:pStyle w:val="table-level-1"/>
              <w:ind w:leftChars="0" w:left="0" w:right="0"/>
              <w:keepNext/>
            </w:pPr>
            <w:r>
              <w:t>4,3</w:t>
            </w:r>
          </w:p>
        </w:tc>
        <w:tc>
          <w:tcPr>
            <w:cnfStyle w:evenVBand="false" w:oddVBand="true" w:firstColumn="false"/>
            <w:tcW w:w="11.434303%" w:type="pct"/>
          </w:tcPr>
          <w:p>
            <w:pPr>
              <w:pStyle w:val="table-level-1"/>
              <w:ind w:leftChars="0" w:left="0" w:right="0"/>
              <w:keepNext/>
            </w:pPr>
            <w:r>
              <w:t>6,5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Utili su cambi</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7,5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Perdite su cambi</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-0,2</w:t>
            </w:r>
          </w:p>
        </w:tc>
        <w:tc>
          <w:tcPr>
            <w:cnfStyle w:evenVBand="true" w:oddVBand="false" w:firstColumn="false"/>
            <w:tcW w:w="11.434303%" w:type="pct"/>
          </w:tcPr>
          <w:p>
            <w:pPr>
              <w:pStyle w:val="table-level-0"/>
              <w:ind w:leftChars="0" w:left="0" w:right="0"/>
              <w:keepNext/>
            </w:pPr>
            <w:r>
              <w:t>-0,9</w:t>
            </w:r>
          </w:p>
        </w:tc>
        <w:tc>
          <w:tcPr>
            <w:cnfStyle w:evenVBand="false" w:oddVBand="true" w:firstColumn="false"/>
            <w:tcW w:w="11.434303%" w:type="pct"/>
          </w:tcPr>
          <w:p>
            <w:pPr>
              <w:pStyle w:val="table-level-0"/>
              <w:ind w:leftChars="0" w:left="0" w:right="0"/>
              <w:keepNext/>
            </w:pPr>
            <w:r>
              <w:t>-0,8</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-1</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d2b102cde39ff330544243511b5a7889">
              <w:r>
                <w:rPr>
                  <w:rStyle w:val="Hyperlink"/>
                </w:rPr>
                <w:t>Riv./svalutazioni finanziarie</w:t>
              </w:r>
            </w:hyperlink>
          </w:p>
        </w:tc>
        <w:tc>
          <w:tcPr>
            <w:cnfStyle w:evenVBand="true" w:oddVBand="false" w:firstColumn="false"/>
            <w:tcW w:w="11.434303%" w:type="pct"/>
          </w:tcPr>
          <w:p>
            <w:pPr>
              <w:pStyle w:val="table-level-1"/>
              <w:ind w:leftChars="0" w:left="0" w:right="0"/>
              <w:keepNext/>
            </w:pPr>
            <w:r>
              <w:t>1,3</w:t>
            </w:r>
          </w:p>
        </w:tc>
        <w:tc>
          <w:tcPr>
            <w:cnfStyle w:evenVBand="false" w:oddVBand="true" w:firstColumn="false"/>
            <w:tcW w:w="11.434303%" w:type="pct"/>
          </w:tcPr>
          <w:p>
            <w:pPr>
              <w:pStyle w:val="table-level-1"/>
              <w:ind w:leftChars="0" w:left="0" w:right="0"/>
              <w:keepNext/>
            </w:pPr>
            <w:r>
              <w:t>-2,1</w:t>
            </w:r>
          </w:p>
        </w:tc>
        <w:tc>
          <w:tcPr>
            <w:cnfStyle w:evenVBand="true" w:oddVBand="false" w:firstColumn="false"/>
            <w:tcW w:w="11.434303%" w:type="pct"/>
          </w:tcPr>
          <w:p>
            <w:pPr>
              <w:pStyle w:val="table-level-1"/>
              <w:ind w:leftChars="0" w:left="0" w:right="0"/>
              <w:keepNext/>
            </w:pPr>
            <w:r>
              <w:t>-1,3</w:t>
            </w:r>
          </w:p>
        </w:tc>
        <w:tc>
          <w:tcPr>
            <w:cnfStyle w:evenVBand="false" w:oddVBand="true" w:firstColumn="false"/>
            <w:tcW w:w="11.434303%" w:type="pct"/>
          </w:tcPr>
          <w:p>
            <w:pPr>
              <w:pStyle w:val="table-level-1"/>
              <w:ind w:leftChars="0" w:left="0" w:right="0"/>
              <w:keepNext/>
            </w:pPr>
            <w:r>
              <w:t>-1,2</w:t>
            </w:r>
          </w:p>
        </w:tc>
        <w:tc>
          <w:tcPr>
            <w:cnfStyle w:evenVBand="true" w:oddVBand="false" w:firstColumn="false"/>
            <w:tcW w:w="11.434303%" w:type="pct"/>
          </w:tcPr>
          <w:p>
            <w:pPr>
              <w:pStyle w:val="table-level-1"/>
              <w:ind w:leftChars="0" w:left="0" w:right="0"/>
              <w:keepNext/>
            </w:pPr>
            <w:r>
              <w:t>1,5</w:t>
            </w:r>
          </w:p>
        </w:tc>
        <w:tc>
          <w:tcPr>
            <w:cnfStyle w:evenVBand="false" w:oddVBand="true" w:firstColumn="false"/>
            <w:tcW w:w="11.434303%" w:type="pct"/>
          </w:tcPr>
          <w:p>
            <w:pPr>
              <w:pStyle w:val="table-level-1"/>
              <w:ind w:leftChars="0" w:left="0" w:right="0"/>
              <w:keepNext/>
            </w:pPr>
            <w:r>
              <w:t>0,6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Rivalutazioni attività finanziarie</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0,8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Svalutazioni attività finanziarie</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-2,4</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-0,2</w:t>
            </w:r>
          </w:p>
        </w:tc>
      </w:tr>
      <w:tr>
        <w:trPr>
          <w:cnfStyle w:evenHBand="true" w:oddHBand="false" w:firstRow="false"/>
          <w:cantSplit/>
        </w:trPr>
        <w:tc>
          <w:tcPr>
            <w:cnfStyle w:evenVBand="false" w:oddVBand="true" w:firstColumn="false"/>
            <w:tcW w:w="31.394183%" w:type="pct"/>
          </w:tcPr>
          <w:p>
            <w:pPr>
              <w:pStyle w:val="index-table-level-300"/>
              <w:ind w:leftChars="0" w:left="0" w:right="0"/>
              <w:keepNext/>
            </w:pPr>
            <w:hyperlink w:anchor="_bd0b1e737cd62cf730c4ec82ce7d1c9a">
              <w:r>
                <w:rPr>
                  <w:rStyle w:val="Hyperlink"/>
                </w:rPr>
                <w:t>Reddito ante imposte</w:t>
              </w:r>
            </w:hyperlink>
          </w:p>
        </w:tc>
        <w:tc>
          <w:tcPr>
            <w:cnfStyle w:evenVBand="true" w:oddVBand="false" w:firstColumn="false"/>
            <w:tcW w:w="11.434303%" w:type="pct"/>
          </w:tcPr>
          <w:p>
            <w:pPr>
              <w:pStyle w:val="table-level-300"/>
              <w:ind w:leftChars="0" w:left="0" w:right="0"/>
              <w:keepNext/>
            </w:pPr>
            <w:r>
              <w:t>949</w:t>
            </w:r>
          </w:p>
        </w:tc>
        <w:tc>
          <w:tcPr>
            <w:cnfStyle w:evenVBand="false" w:oddVBand="true" w:firstColumn="false"/>
            <w:tcW w:w="11.434303%" w:type="pct"/>
          </w:tcPr>
          <w:p>
            <w:pPr>
              <w:pStyle w:val="table-level-300"/>
              <w:ind w:leftChars="0" w:left="0" w:right="0"/>
              <w:keepNext/>
            </w:pPr>
            <w:r>
              <w:t>1.194</w:t>
            </w:r>
          </w:p>
        </w:tc>
        <w:tc>
          <w:tcPr>
            <w:cnfStyle w:evenVBand="true" w:oddVBand="false" w:firstColumn="false"/>
            <w:tcW w:w="11.434303%" w:type="pct"/>
          </w:tcPr>
          <w:p>
            <w:pPr>
              <w:pStyle w:val="table-level-300"/>
              <w:ind w:leftChars="0" w:left="0" w:right="0"/>
              <w:keepNext/>
            </w:pPr>
            <w:r>
              <w:t>1.300</w:t>
            </w:r>
          </w:p>
        </w:tc>
        <w:tc>
          <w:tcPr>
            <w:cnfStyle w:evenVBand="false" w:oddVBand="true" w:firstColumn="false"/>
            <w:tcW w:w="11.434303%" w:type="pct"/>
          </w:tcPr>
          <w:p>
            <w:pPr>
              <w:pStyle w:val="table-level-300"/>
              <w:ind w:leftChars="0" w:left="0" w:right="0"/>
              <w:keepNext/>
            </w:pPr>
            <w:r>
              <w:t>1.010</w:t>
            </w:r>
          </w:p>
        </w:tc>
        <w:tc>
          <w:tcPr>
            <w:cnfStyle w:evenVBand="true" w:oddVBand="false" w:firstColumn="false"/>
            <w:tcW w:w="11.434303%" w:type="pct"/>
          </w:tcPr>
          <w:p>
            <w:pPr>
              <w:pStyle w:val="table-level-300"/>
              <w:ind w:leftChars="0" w:left="0" w:right="0"/>
              <w:keepNext/>
            </w:pPr>
            <w:r>
              <w:t>493,6</w:t>
            </w:r>
          </w:p>
        </w:tc>
        <w:tc>
          <w:tcPr>
            <w:cnfStyle w:evenVBand="false" w:oddVBand="true" w:firstColumn="false"/>
            <w:tcW w:w="11.434303%" w:type="pct"/>
          </w:tcPr>
          <w:p>
            <w:pPr>
              <w:pStyle w:val="table-level-300"/>
              <w:ind w:leftChars="0" w:left="0" w:right="0"/>
              <w:keepNext/>
            </w:pPr>
            <w:r>
              <w:t>734,6</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r>
              <w:t>Imposte dell’esercizio</w:t>
            </w:r>
          </w:p>
        </w:tc>
        <w:tc>
          <w:tcPr>
            <w:cnfStyle w:evenVBand="true" w:oddVBand="false" w:firstColumn="false"/>
            <w:tcW w:w="11.434303%" w:type="pct"/>
          </w:tcPr>
          <w:p>
            <w:pPr>
              <w:pStyle w:val="table-level-2"/>
              <w:ind w:leftChars="0" w:left="0" w:right="0"/>
              <w:keepNext/>
            </w:pPr>
            <w:r>
              <w:t>-270,1</w:t>
            </w:r>
          </w:p>
        </w:tc>
        <w:tc>
          <w:tcPr>
            <w:cnfStyle w:evenVBand="false" w:oddVBand="true" w:firstColumn="false"/>
            <w:tcW w:w="11.434303%" w:type="pct"/>
          </w:tcPr>
          <w:p>
            <w:pPr>
              <w:pStyle w:val="table-level-2"/>
              <w:ind w:leftChars="0" w:left="0" w:right="0"/>
              <w:keepNext/>
            </w:pPr>
            <w:r>
              <w:t>-343,9</w:t>
            </w:r>
          </w:p>
        </w:tc>
        <w:tc>
          <w:tcPr>
            <w:cnfStyle w:evenVBand="true" w:oddVBand="false" w:firstColumn="false"/>
            <w:tcW w:w="11.434303%" w:type="pct"/>
          </w:tcPr>
          <w:p>
            <w:pPr>
              <w:pStyle w:val="table-level-2"/>
              <w:ind w:leftChars="0" w:left="0" w:right="0"/>
              <w:keepNext/>
            </w:pPr>
            <w:r>
              <w:t>-375,5</w:t>
            </w:r>
          </w:p>
        </w:tc>
        <w:tc>
          <w:tcPr>
            <w:cnfStyle w:evenVBand="false" w:oddVBand="true" w:firstColumn="false"/>
            <w:tcW w:w="11.434303%" w:type="pct"/>
          </w:tcPr>
          <w:p>
            <w:pPr>
              <w:pStyle w:val="table-level-2"/>
              <w:ind w:leftChars="0" w:left="0" w:right="0"/>
              <w:keepNext/>
            </w:pPr>
            <w:r>
              <w:t>-292,5</w:t>
            </w:r>
          </w:p>
        </w:tc>
        <w:tc>
          <w:tcPr>
            <w:cnfStyle w:evenVBand="true" w:oddVBand="false" w:firstColumn="false"/>
            <w:tcW w:w="11.434303%" w:type="pct"/>
          </w:tcPr>
          <w:p>
            <w:pPr>
              <w:pStyle w:val="table-level-2"/>
              <w:ind w:leftChars="0" w:left="0" w:right="0"/>
              <w:keepNext/>
            </w:pPr>
            <w:r>
              <w:t>-164,3</w:t>
            </w:r>
          </w:p>
        </w:tc>
        <w:tc>
          <w:tcPr>
            <w:cnfStyle w:evenVBand="false" w:oddVBand="true" w:firstColumn="false"/>
            <w:tcW w:w="11.434303%" w:type="pct"/>
          </w:tcPr>
          <w:p>
            <w:pPr>
              <w:pStyle w:val="table-level-2"/>
              <w:ind w:leftChars="0" w:left="0" w:right="0"/>
              <w:keepNext/>
            </w:pPr>
            <w:r>
              <w:t>-197,7</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c25c68c33f0dd833878097b72d1d900f">
              <w:r>
                <w:rPr>
                  <w:rStyle w:val="Hyperlink"/>
                </w:rPr>
                <w:t>Imposte correnti</w:t>
              </w:r>
            </w:hyperlink>
          </w:p>
        </w:tc>
        <w:tc>
          <w:tcPr>
            <w:cnfStyle w:evenVBand="true" w:oddVBand="false" w:firstColumn="false"/>
            <w:tcW w:w="11.434303%" w:type="pct"/>
          </w:tcPr>
          <w:p>
            <w:pPr>
              <w:pStyle w:val="table-level-1"/>
              <w:ind w:leftChars="0" w:left="0" w:right="0"/>
              <w:keepNext/>
            </w:pPr>
            <w:r>
              <w:t>-275,1</w:t>
            </w:r>
          </w:p>
        </w:tc>
        <w:tc>
          <w:tcPr>
            <w:cnfStyle w:evenVBand="false" w:oddVBand="true" w:firstColumn="false"/>
            <w:tcW w:w="11.434303%" w:type="pct"/>
          </w:tcPr>
          <w:p>
            <w:pPr>
              <w:pStyle w:val="table-level-1"/>
              <w:ind w:leftChars="0" w:left="0" w:right="0"/>
              <w:keepNext/>
            </w:pPr>
            <w:r>
              <w:t>-345,9</w:t>
            </w:r>
          </w:p>
        </w:tc>
        <w:tc>
          <w:tcPr>
            <w:cnfStyle w:evenVBand="true" w:oddVBand="false" w:firstColumn="false"/>
            <w:tcW w:w="11.434303%" w:type="pct"/>
          </w:tcPr>
          <w:p>
            <w:pPr>
              <w:pStyle w:val="table-level-1"/>
              <w:ind w:leftChars="0" w:left="0" w:right="0"/>
              <w:keepNext/>
            </w:pPr>
            <w:r>
              <w:t>-376,5</w:t>
            </w:r>
          </w:p>
        </w:tc>
        <w:tc>
          <w:tcPr>
            <w:cnfStyle w:evenVBand="false" w:oddVBand="true" w:firstColumn="false"/>
            <w:tcW w:w="11.434303%" w:type="pct"/>
          </w:tcPr>
          <w:p>
            <w:pPr>
              <w:pStyle w:val="table-level-1"/>
              <w:ind w:leftChars="0" w:left="0" w:right="0"/>
              <w:keepNext/>
            </w:pPr>
            <w:r>
              <w:t>-292,5</w:t>
            </w:r>
          </w:p>
        </w:tc>
        <w:tc>
          <w:tcPr>
            <w:cnfStyle w:evenVBand="true" w:oddVBand="false" w:firstColumn="false"/>
            <w:tcW w:w="11.434303%" w:type="pct"/>
          </w:tcPr>
          <w:p>
            <w:pPr>
              <w:pStyle w:val="table-level-1"/>
              <w:ind w:leftChars="0" w:left="0" w:right="0"/>
              <w:keepNext/>
            </w:pPr>
            <w:r>
              <w:t>-145,8</w:t>
            </w:r>
          </w:p>
        </w:tc>
        <w:tc>
          <w:tcPr>
            <w:cnfStyle w:evenVBand="false" w:oddVBand="true" w:firstColumn="false"/>
            <w:tcW w:w="11.434303%" w:type="pct"/>
          </w:tcPr>
          <w:p>
            <w:pPr>
              <w:pStyle w:val="table-level-1"/>
              <w:ind w:leftChars="0" w:left="0" w:right="0"/>
              <w:keepNext/>
            </w:pPr>
            <w:r>
              <w:t>-216,3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IRES</w:t>
            </w:r>
          </w:p>
        </w:tc>
        <w:tc>
          <w:tcPr>
            <w:cnfStyle w:evenVBand="true" w:oddVBand="false" w:firstColumn="false"/>
            <w:tcW w:w="11.434303%" w:type="pct"/>
          </w:tcPr>
          <w:p>
            <w:pPr>
              <w:pStyle w:val="table-level-0"/>
              <w:ind w:leftChars="0" w:left="0" w:right="0"/>
              <w:keepNext/>
            </w:pPr>
            <w:r>
              <w:t>-237,2</w:t>
            </w:r>
          </w:p>
        </w:tc>
        <w:tc>
          <w:tcPr>
            <w:cnfStyle w:evenVBand="false" w:oddVBand="true" w:firstColumn="false"/>
            <w:tcW w:w="11.434303%" w:type="pct"/>
          </w:tcPr>
          <w:p>
            <w:pPr>
              <w:pStyle w:val="table-level-0"/>
              <w:ind w:leftChars="0" w:left="0" w:right="0"/>
              <w:keepNext/>
            </w:pPr>
            <w:r>
              <w:t>-298,6</w:t>
            </w:r>
          </w:p>
        </w:tc>
        <w:tc>
          <w:tcPr>
            <w:cnfStyle w:evenVBand="true" w:oddVBand="false" w:firstColumn="false"/>
            <w:tcW w:w="11.434303%" w:type="pct"/>
          </w:tcPr>
          <w:p>
            <w:pPr>
              <w:pStyle w:val="table-level-0"/>
              <w:ind w:leftChars="0" w:left="0" w:right="0"/>
              <w:keepNext/>
            </w:pPr>
            <w:r>
              <w:t>-325</w:t>
            </w:r>
          </w:p>
        </w:tc>
        <w:tc>
          <w:tcPr>
            <w:cnfStyle w:evenVBand="false" w:oddVBand="true" w:firstColumn="false"/>
            <w:tcW w:w="11.434303%" w:type="pct"/>
          </w:tcPr>
          <w:p>
            <w:pPr>
              <w:pStyle w:val="table-level-0"/>
              <w:ind w:leftChars="0" w:left="0" w:right="0"/>
              <w:keepNext/>
            </w:pPr>
            <w:r>
              <w:t>-252,4</w:t>
            </w:r>
          </w:p>
        </w:tc>
        <w:tc>
          <w:tcPr>
            <w:cnfStyle w:evenVBand="true" w:oddVBand="false" w:firstColumn="false"/>
            <w:tcW w:w="11.434303%" w:type="pct"/>
          </w:tcPr>
          <w:p>
            <w:pPr>
              <w:pStyle w:val="table-level-0"/>
              <w:ind w:leftChars="0" w:left="0" w:right="0"/>
              <w:keepNext/>
            </w:pPr>
            <w:r>
              <w:t>-123,4</w:t>
            </w:r>
          </w:p>
        </w:tc>
        <w:tc>
          <w:tcPr>
            <w:cnfStyle w:evenVBand="false" w:oddVBand="true" w:firstColumn="false"/>
            <w:tcW w:w="11.434303%" w:type="pct"/>
          </w:tcPr>
          <w:p>
            <w:pPr>
              <w:pStyle w:val="table-level-0"/>
              <w:ind w:leftChars="0" w:left="0" w:right="0"/>
              <w:keepNext/>
            </w:pPr>
            <w:r>
              <w:t>-183,6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IRAP</w:t>
            </w:r>
          </w:p>
        </w:tc>
        <w:tc>
          <w:tcPr>
            <w:cnfStyle w:evenVBand="true" w:oddVBand="false" w:firstColumn="false"/>
            <w:tcW w:w="11.434303%" w:type="pct"/>
          </w:tcPr>
          <w:p>
            <w:pPr>
              <w:pStyle w:val="table-level-0"/>
              <w:ind w:leftChars="0" w:left="0" w:right="0"/>
              <w:keepNext/>
            </w:pPr>
            <w:r>
              <w:t>-37</w:t>
            </w:r>
          </w:p>
        </w:tc>
        <w:tc>
          <w:tcPr>
            <w:cnfStyle w:evenVBand="false" w:oddVBand="true" w:firstColumn="false"/>
            <w:tcW w:w="11.434303%" w:type="pct"/>
          </w:tcPr>
          <w:p>
            <w:pPr>
              <w:pStyle w:val="table-level-0"/>
              <w:ind w:leftChars="0" w:left="0" w:right="0"/>
              <w:keepNext/>
            </w:pPr>
            <w:r>
              <w:t>-46,6</w:t>
            </w:r>
          </w:p>
        </w:tc>
        <w:tc>
          <w:tcPr>
            <w:cnfStyle w:evenVBand="true" w:oddVBand="false" w:firstColumn="false"/>
            <w:tcW w:w="11.434303%" w:type="pct"/>
          </w:tcPr>
          <w:p>
            <w:pPr>
              <w:pStyle w:val="table-level-0"/>
              <w:ind w:leftChars="0" w:left="0" w:right="0"/>
              <w:keepNext/>
            </w:pPr>
            <w:r>
              <w:t>-50,7</w:t>
            </w:r>
          </w:p>
        </w:tc>
        <w:tc>
          <w:tcPr>
            <w:cnfStyle w:evenVBand="false" w:oddVBand="true" w:firstColumn="false"/>
            <w:tcW w:w="11.434303%" w:type="pct"/>
          </w:tcPr>
          <w:p>
            <w:pPr>
              <w:pStyle w:val="table-level-0"/>
              <w:ind w:leftChars="0" w:left="0" w:right="0"/>
              <w:keepNext/>
            </w:pPr>
            <w:r>
              <w:t>-39,4</w:t>
            </w:r>
          </w:p>
        </w:tc>
        <w:tc>
          <w:tcPr>
            <w:cnfStyle w:evenVBand="true" w:oddVBand="false" w:firstColumn="false"/>
            <w:tcW w:w="11.434303%" w:type="pct"/>
          </w:tcPr>
          <w:p>
            <w:pPr>
              <w:pStyle w:val="table-level-0"/>
              <w:ind w:leftChars="0" w:left="0" w:right="0"/>
              <w:keepNext/>
            </w:pPr>
            <w:r>
              <w:t>-19,2</w:t>
            </w:r>
          </w:p>
        </w:tc>
        <w:tc>
          <w:tcPr>
            <w:cnfStyle w:evenVBand="false" w:oddVBand="true" w:firstColumn="false"/>
            <w:tcW w:w="11.434303%" w:type="pct"/>
          </w:tcPr>
          <w:p>
            <w:pPr>
              <w:pStyle w:val="table-level-0"/>
              <w:ind w:leftChars="0" w:left="0" w:right="0"/>
              <w:keepNext/>
            </w:pPr>
            <w:r>
              <w:t>-28,6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Imposte correnti diverse</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-0,65</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-0,6</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di esercizi precedenti</w:t>
            </w:r>
          </w:p>
        </w:tc>
        <w:tc>
          <w:tcPr>
            <w:cnfStyle w:evenVBand="true" w:oddVBand="false" w:firstColumn="false"/>
            <w:tcW w:w="11.434303%" w:type="pct"/>
          </w:tcPr>
          <w:p>
            <w:pPr>
              <w:pStyle w:val="table-level-0"/>
              <w:ind w:leftChars="0" w:left="0" w:right="0"/>
              <w:keepNext/>
            </w:pPr>
            <w:r>
              <w:t>-0,12</w:t>
            </w:r>
          </w:p>
        </w:tc>
        <w:tc>
          <w:tcPr>
            <w:cnfStyle w:evenVBand="false" w:oddVBand="true" w:firstColumn="false"/>
            <w:tcW w:w="11.434303%" w:type="pct"/>
          </w:tcPr>
          <w:p>
            <w:pPr>
              <w:pStyle w:val="table-level-0"/>
              <w:ind w:leftChars="0" w:left="0" w:right="0"/>
              <w:keepNext/>
            </w:pPr>
            <w:r>
              <w:t>-0,1</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-0,1</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4122e634a3e69101ab2f0b17cff61ca">
              <w:r>
                <w:rPr>
                  <w:rStyle w:val="Hyperlink"/>
                </w:rPr>
                <w:t>Imposte differite e anticipate</w:t>
              </w:r>
            </w:hyperlink>
          </w:p>
        </w:tc>
        <w:tc>
          <w:tcPr>
            <w:cnfStyle w:evenVBand="true" w:oddVBand="false" w:firstColumn="false"/>
            <w:tcW w:w="11.434303%" w:type="pct"/>
          </w:tcPr>
          <w:p>
            <w:pPr>
              <w:pStyle w:val="table-level-1"/>
              <w:ind w:leftChars="0" w:left="0" w:right="0"/>
              <w:keepNext/>
            </w:pPr>
            <w:r>
              <w:t>5</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-18,5</w:t>
            </w:r>
          </w:p>
        </w:tc>
        <w:tc>
          <w:tcPr>
            <w:cnfStyle w:evenVBand="false" w:oddVBand="true" w:firstColumn="false"/>
            <w:tcW w:w="11.434303%" w:type="pct"/>
          </w:tcPr>
          <w:p>
            <w:pPr>
              <w:pStyle w:val="table-level-1"/>
              <w:ind w:leftChars="0" w:left="0" w:right="0"/>
              <w:keepNext/>
            </w:pPr>
            <w:r>
              <w:t>18,6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anticipate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20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Imposte differite</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0e668cdabed72cb77effca8d8cd5d6f4">
              <w:r>
                <w:rPr>
                  <w:rStyle w:val="Hyperlink"/>
                </w:rPr>
                <w:t>Proventi/oneri consolidato</w:t>
              </w:r>
            </w:hyperlink>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1</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Proventi da consolidato fiscale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Oneri da consolidato fiscale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hyperlink w:anchor="_75826aa58a15c06d0dbd86ecde6802c7">
              <w:r>
                <w:rPr>
                  <w:rStyle w:val="Hyperlink"/>
                </w:rPr>
                <w:t>Risultato del periodo</w:t>
              </w:r>
            </w:hyperlink>
          </w:p>
        </w:tc>
        <w:tc>
          <w:tcPr>
            <w:cnfStyle w:evenVBand="true" w:oddVBand="false" w:firstColumn="false"/>
            <w:tcW w:w="11.434303%" w:type="pct"/>
          </w:tcPr>
          <w:p>
            <w:pPr>
              <w:pStyle w:val="table-level-300"/>
              <w:ind w:leftChars="0" w:left="0" w:right="0"/>
              <w:keepNext/>
            </w:pPr>
            <w:r>
              <w:t>678,9</w:t>
            </w:r>
          </w:p>
        </w:tc>
        <w:tc>
          <w:tcPr>
            <w:cnfStyle w:evenVBand="false" w:oddVBand="true" w:firstColumn="false"/>
            <w:tcW w:w="11.434303%" w:type="pct"/>
          </w:tcPr>
          <w:p>
            <w:pPr>
              <w:pStyle w:val="table-level-300"/>
              <w:ind w:leftChars="0" w:left="0" w:right="0"/>
              <w:keepNext/>
            </w:pPr>
            <w:r>
              <w:t>850,5</w:t>
            </w:r>
          </w:p>
        </w:tc>
        <w:tc>
          <w:tcPr>
            <w:cnfStyle w:evenVBand="true" w:oddVBand="false" w:firstColumn="false"/>
            <w:tcW w:w="11.434303%" w:type="pct"/>
          </w:tcPr>
          <w:p>
            <w:pPr>
              <w:pStyle w:val="table-level-300"/>
              <w:ind w:leftChars="0" w:left="0" w:right="0"/>
              <w:keepNext/>
            </w:pPr>
            <w:r>
              <w:t>924,4</w:t>
            </w:r>
          </w:p>
        </w:tc>
        <w:tc>
          <w:tcPr>
            <w:cnfStyle w:evenVBand="false" w:oddVBand="true" w:firstColumn="false"/>
            <w:tcW w:w="11.434303%" w:type="pct"/>
          </w:tcPr>
          <w:p>
            <w:pPr>
              <w:pStyle w:val="table-level-300"/>
              <w:ind w:leftChars="0" w:left="0" w:right="0"/>
              <w:keepNext/>
            </w:pPr>
            <w:r>
              <w:t>717,3</w:t>
            </w:r>
          </w:p>
        </w:tc>
        <w:tc>
          <w:tcPr>
            <w:cnfStyle w:evenVBand="true" w:oddVBand="false" w:firstColumn="false"/>
            <w:tcW w:w="11.434303%" w:type="pct"/>
          </w:tcPr>
          <w:p>
            <w:pPr>
              <w:pStyle w:val="table-level-300"/>
              <w:ind w:leftChars="0" w:left="0" w:right="0"/>
              <w:keepNext/>
            </w:pPr>
            <w:r>
              <w:t>329,2</w:t>
            </w:r>
          </w:p>
        </w:tc>
        <w:tc>
          <w:tcPr>
            <w:cnfStyle w:evenVBand="false" w:oddVBand="true" w:firstColumn="false"/>
            <w:tcW w:w="11.434303%" w:type="pct"/>
          </w:tcPr>
          <w:p>
            <w:pPr>
              <w:pStyle w:val="table-level-300"/>
              <w:ind w:leftChars="0" w:left="0" w:right="0"/>
              <w:keepNext/>
            </w:pPr>
            <w:r>
              <w:t>536,9</w:t>
            </w:r>
          </w:p>
        </w:tc>
      </w:tr>
    </w:tbl>
    <w:p>
      <w:pPr>
        <w:pStyle w:val="TableBottomMargin"/>
      </w:pPr>
    </w:p>
    <w:br w:type="page"/>
    <w:bookmarkStart w:id="546" w:name="_fb99df430a4438945a5480b592398d66"/>
    <w:bookmarkStart w:id="547" w:name="_35393d0452d9eb2940c4cb6a28a38f1a"/>
    <w:p>
      <w:pPr>
        <w:pStyle w:val="Heading2"/>
        <w:keepNext/>
      </w:pPr>
      <w:r>
        <w:t>Gestione operativa</w:t>
      </w:r>
    </w:p>
    <w:p>
      <w:pPr>
        <w:pStyle w:val="BodyText"/>
        <w:ind w:leftChars="0" w:left="0" w:right="0"/>
      </w:pPr>
      <w:r>
        <w:t xml:space="preserve">La presente sottosezione del </w:t>
      </w:r>
      <w:hyperlink w:anchor="_2facdeaf2d2be050e60a4484776d93df">
        <w:r>
          <w:rPr>
            <w:rStyle w:val="Hyperlink"/>
          </w:rPr>
          <w:t>Conto economico</w:t>
        </w:r>
      </w:hyperlink>
      <w:r>
        <w:t xml:space="preserve"> è dedicata alla Gestione operativa. Questa rappresenta l’area a cui sono riconducibili ricavi e costi dell’attività operativa.</w:t>
      </w:r>
    </w:p>
    <w:p>
      <w:pPr>
        <w:pStyle w:val="BodyText"/>
        <w:ind w:leftChars="0" w:left="0" w:right="0"/>
      </w:pPr>
      <w:r>
        <w:t xml:space="preserve">Il prospetto seguente illustra il dettaglio analitico delle determinanti della voce </w:t>
      </w:r>
      <w:r>
        <w:rPr>
          <w:i/>
          <w:iCs/>
        </w:rPr>
        <w:t>Reddito operativo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32ee55f1db7eaf113637e0261ea516c">
              <w:r>
                <w:rPr>
                  <w:rStyle w:val="Hyperlink"/>
                </w:rPr>
                <w:t>Valore della produzione</w:t>
              </w:r>
            </w:hyperlink>
          </w:p>
        </w:tc>
        <w:tc>
          <w:tcPr>
            <w:cnfStyle w:evenVBand="true" w:oddVBand="false" w:firstColumn="false"/>
            <w:tcW w:w="11.434303%" w:type="pct"/>
          </w:tcPr>
          <w:p>
            <w:pPr>
              <w:pStyle w:val="table-level-1"/>
              <w:ind w:leftChars="0" w:left="0" w:right="0"/>
              <w:keepNext/>
            </w:pPr>
            <w:r>
              <w:t>6.903</w:t>
            </w:r>
          </w:p>
        </w:tc>
        <w:tc>
          <w:tcPr>
            <w:cnfStyle w:evenVBand="false" w:oddVBand="true" w:firstColumn="false"/>
            <w:tcW w:w="11.434303%" w:type="pct"/>
          </w:tcPr>
          <w:p>
            <w:pPr>
              <w:pStyle w:val="table-level-1"/>
              <w:ind w:leftChars="0" w:left="0" w:right="0"/>
              <w:keepNext/>
            </w:pPr>
            <w:r>
              <w:t>6.298</w:t>
            </w:r>
          </w:p>
        </w:tc>
        <w:tc>
          <w:tcPr>
            <w:cnfStyle w:evenVBand="true" w:oddVBand="false" w:firstColumn="false"/>
            <w:tcW w:w="11.434303%" w:type="pct"/>
          </w:tcPr>
          <w:p>
            <w:pPr>
              <w:pStyle w:val="table-level-1"/>
              <w:ind w:leftChars="0" w:left="0" w:right="0"/>
              <w:keepNext/>
            </w:pPr>
            <w:r>
              <w:t>5.534</w:t>
            </w:r>
          </w:p>
        </w:tc>
        <w:tc>
          <w:tcPr>
            <w:cnfStyle w:evenVBand="false" w:oddVBand="true" w:firstColumn="false"/>
            <w:tcW w:w="11.434303%" w:type="pct"/>
          </w:tcPr>
          <w:p>
            <w:pPr>
              <w:pStyle w:val="table-level-1"/>
              <w:ind w:leftChars="0" w:left="0" w:right="0"/>
              <w:keepNext/>
            </w:pPr>
            <w:r>
              <w:t>4.953</w:t>
            </w:r>
          </w:p>
        </w:tc>
        <w:tc>
          <w:tcPr>
            <w:cnfStyle w:evenVBand="true" w:oddVBand="false" w:firstColumn="false"/>
            <w:tcW w:w="11.434303%" w:type="pct"/>
          </w:tcPr>
          <w:p>
            <w:pPr>
              <w:pStyle w:val="table-level-1"/>
              <w:ind w:leftChars="0" w:left="0" w:right="0"/>
              <w:keepNext/>
            </w:pPr>
            <w:r>
              <w:t>3.961</w:t>
            </w:r>
          </w:p>
        </w:tc>
        <w:tc>
          <w:tcPr>
            <w:cnfStyle w:evenVBand="false" w:oddVBand="true" w:firstColumn="false"/>
            <w:tcW w:w="11.434303%" w:type="pct"/>
          </w:tcPr>
          <w:p>
            <w:pPr>
              <w:pStyle w:val="table-level-1"/>
              <w:ind w:leftChars="0" w:left="0" w:right="0"/>
              <w:keepNext/>
            </w:pPr>
            <w:r>
              <w:t>3.972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05a60ac4ff8150ca68b3f45082b051a">
              <w:r>
                <w:rPr>
                  <w:rStyle w:val="Hyperlink"/>
                </w:rPr>
                <w:t>Fatturato netto</w:t>
              </w:r>
            </w:hyperlink>
          </w:p>
        </w:tc>
        <w:tc>
          <w:tcPr>
            <w:cnfStyle w:evenVBand="true" w:oddVBand="false" w:firstColumn="false"/>
            <w:tcW w:w="11.434303%" w:type="pct"/>
          </w:tcPr>
          <w:p>
            <w:pPr>
              <w:pStyle w:val="table-level-0"/>
              <w:ind w:leftChars="0" w:left="0" w:right="0"/>
              <w:keepNext/>
            </w:pPr>
            <w:r>
              <w:t>6.850</w:t>
            </w:r>
          </w:p>
        </w:tc>
        <w:tc>
          <w:tcPr>
            <w:cnfStyle w:evenVBand="false" w:oddVBand="true" w:firstColumn="false"/>
            <w:tcW w:w="11.434303%" w:type="pct"/>
          </w:tcPr>
          <w:p>
            <w:pPr>
              <w:pStyle w:val="table-level-0"/>
              <w:ind w:leftChars="0" w:left="0" w:right="0"/>
              <w:keepNext/>
            </w:pPr>
            <w:r>
              <w:t>6.252</w:t>
            </w:r>
          </w:p>
        </w:tc>
        <w:tc>
          <w:tcPr>
            <w:cnfStyle w:evenVBand="true" w:oddVBand="false" w:firstColumn="false"/>
            <w:tcW w:w="11.434303%" w:type="pct"/>
          </w:tcPr>
          <w:p>
            <w:pPr>
              <w:pStyle w:val="table-level-0"/>
              <w:ind w:leftChars="0" w:left="0" w:right="0"/>
              <w:keepNext/>
            </w:pPr>
            <w:r>
              <w:t>5.485</w:t>
            </w:r>
          </w:p>
        </w:tc>
        <w:tc>
          <w:tcPr>
            <w:cnfStyle w:evenVBand="false" w:oddVBand="true" w:firstColumn="false"/>
            <w:tcW w:w="11.434303%" w:type="pct"/>
          </w:tcPr>
          <w:p>
            <w:pPr>
              <w:pStyle w:val="table-level-0"/>
              <w:ind w:leftChars="0" w:left="0" w:right="0"/>
              <w:keepNext/>
            </w:pPr>
            <w:r>
              <w:t>4.930</w:t>
            </w:r>
          </w:p>
        </w:tc>
        <w:tc>
          <w:tcPr>
            <w:cnfStyle w:evenVBand="true" w:oddVBand="false" w:firstColumn="false"/>
            <w:tcW w:w="11.434303%" w:type="pct"/>
          </w:tcPr>
          <w:p>
            <w:pPr>
              <w:pStyle w:val="table-level-0"/>
              <w:ind w:leftChars="0" w:left="0" w:right="0"/>
              <w:keepNext/>
            </w:pPr>
            <w:r>
              <w:t>3.850</w:t>
            </w:r>
          </w:p>
        </w:tc>
        <w:tc>
          <w:tcPr>
            <w:cnfStyle w:evenVBand="false" w:oddVBand="true" w:firstColumn="false"/>
            <w:tcW w:w="11.434303%" w:type="pct"/>
          </w:tcPr>
          <w:p>
            <w:pPr>
              <w:pStyle w:val="table-level-0"/>
              <w:ind w:leftChars="0" w:left="0" w:right="0"/>
              <w:keepNext/>
            </w:pPr>
            <w:r>
              <w:t>3.930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Variazione rimanenze vendite</w:t>
            </w:r>
          </w:p>
        </w:tc>
        <w:tc>
          <w:tcPr>
            <w:cnfStyle w:evenVBand="true" w:oddVBand="false" w:firstColumn="false"/>
            <w:tcW w:w="11.434303%" w:type="pct"/>
          </w:tcPr>
          <w:p>
            <w:pPr>
              <w:pStyle w:val="table-level-0"/>
              <w:ind w:leftChars="0" w:left="0" w:right="0"/>
              <w:keepNext/>
            </w:pPr>
            <w:r>
              <w:t>16</w:t>
            </w:r>
          </w:p>
        </w:tc>
        <w:tc>
          <w:tcPr>
            <w:cnfStyle w:evenVBand="false" w:oddVBand="true" w:firstColumn="false"/>
            <w:tcW w:w="11.434303%" w:type="pct"/>
          </w:tcPr>
          <w:p>
            <w:pPr>
              <w:pStyle w:val="table-level-0"/>
              <w:ind w:leftChars="0" w:left="0" w:right="0"/>
              <w:keepNext/>
            </w:pPr>
            <w:r>
              <w:t>19,5</w:t>
            </w:r>
          </w:p>
        </w:tc>
        <w:tc>
          <w:tcPr>
            <w:cnfStyle w:evenVBand="true" w:oddVBand="false" w:firstColumn="false"/>
            <w:tcW w:w="11.434303%" w:type="pct"/>
          </w:tcPr>
          <w:p>
            <w:pPr>
              <w:pStyle w:val="table-level-0"/>
              <w:ind w:leftChars="0" w:left="0" w:right="0"/>
              <w:keepNext/>
            </w:pPr>
            <w:r>
              <w:t>23,5</w:t>
            </w:r>
          </w:p>
        </w:tc>
        <w:tc>
          <w:tcPr>
            <w:cnfStyle w:evenVBand="false" w:oddVBand="true" w:firstColumn="false"/>
            <w:tcW w:w="11.434303%" w:type="pct"/>
          </w:tcPr>
          <w:p>
            <w:pPr>
              <w:pStyle w:val="table-level-0"/>
              <w:ind w:leftChars="0" w:left="0" w:right="0"/>
              <w:keepNext/>
            </w:pPr>
            <w:r>
              <w:t>1,85</w:t>
            </w:r>
          </w:p>
        </w:tc>
        <w:tc>
          <w:tcPr>
            <w:cnfStyle w:evenVBand="true" w:oddVBand="false" w:firstColumn="false"/>
            <w:tcW w:w="11.434303%" w:type="pct"/>
          </w:tcPr>
          <w:p>
            <w:pPr>
              <w:pStyle w:val="table-level-0"/>
              <w:ind w:leftChars="0" w:left="0" w:right="0"/>
              <w:keepNext/>
            </w:pPr>
            <w:r>
              <w:t>2,3</w:t>
            </w:r>
          </w:p>
        </w:tc>
        <w:tc>
          <w:tcPr>
            <w:cnfStyle w:evenVBand="false" w:oddVBand="true" w:firstColumn="false"/>
            <w:tcW w:w="11.434303%" w:type="pct"/>
          </w:tcPr>
          <w:p>
            <w:pPr>
              <w:pStyle w:val="table-level-0"/>
              <w:ind w:leftChars="0" w:left="0" w:right="0"/>
              <w:keepNext/>
            </w:pPr>
            <w:r>
              <w:t>20,4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aeb67d7738f685d27bca76561a7012a3">
              <w:r>
                <w:rPr>
                  <w:rStyle w:val="Hyperlink"/>
                </w:rPr>
                <w:t>Altri ricavi e proventi</w:t>
              </w:r>
            </w:hyperlink>
          </w:p>
        </w:tc>
        <w:tc>
          <w:tcPr>
            <w:cnfStyle w:evenVBand="true" w:oddVBand="false" w:firstColumn="false"/>
            <w:tcW w:w="11.434303%" w:type="pct"/>
          </w:tcPr>
          <w:p>
            <w:pPr>
              <w:pStyle w:val="table-level-0"/>
              <w:ind w:leftChars="0" w:left="0" w:right="0"/>
              <w:keepNext/>
            </w:pPr>
            <w:r>
              <w:t>37</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25,5</w:t>
            </w:r>
          </w:p>
        </w:tc>
        <w:tc>
          <w:tcPr>
            <w:cnfStyle w:evenVBand="false" w:oddVBand="true" w:firstColumn="false"/>
            <w:tcW w:w="11.434303%" w:type="pct"/>
          </w:tcPr>
          <w:p>
            <w:pPr>
              <w:pStyle w:val="table-level-0"/>
              <w:ind w:leftChars="0" w:left="0" w:right="0"/>
              <w:keepNext/>
            </w:pPr>
            <w:r>
              <w:t>21,5</w:t>
            </w:r>
          </w:p>
        </w:tc>
        <w:tc>
          <w:tcPr>
            <w:cnfStyle w:evenVBand="true" w:oddVBand="false" w:firstColumn="false"/>
            <w:tcW w:w="11.434303%" w:type="pct"/>
          </w:tcPr>
          <w:p>
            <w:pPr>
              <w:pStyle w:val="table-level-0"/>
              <w:ind w:leftChars="0" w:left="0" w:right="0"/>
              <w:keepNext/>
            </w:pPr>
            <w:r>
              <w:t>109</w:t>
            </w:r>
          </w:p>
        </w:tc>
        <w:tc>
          <w:tcPr>
            <w:cnfStyle w:evenVBand="false" w:oddVBand="true" w:firstColumn="false"/>
            <w:tcW w:w="11.434303%" w:type="pct"/>
          </w:tcPr>
          <w:p>
            <w:pPr>
              <w:pStyle w:val="table-level-0"/>
              <w:ind w:leftChars="0" w:left="0" w:right="0"/>
              <w:keepNext/>
            </w:pPr>
            <w:r>
              <w:t>21,5</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6284af3e1ef73375f80178ffe0aa6e6">
              <w:r>
                <w:rPr>
                  <w:rStyle w:val="Hyperlink"/>
                </w:rPr>
                <w:t>Costi operativi</w:t>
              </w:r>
            </w:hyperlink>
          </w:p>
        </w:tc>
        <w:tc>
          <w:tcPr>
            <w:cnfStyle w:evenVBand="true" w:oddVBand="false" w:firstColumn="false"/>
            <w:tcW w:w="11.434303%" w:type="pct"/>
          </w:tcPr>
          <w:p>
            <w:pPr>
              <w:pStyle w:val="table-level-1"/>
              <w:ind w:leftChars="0" w:left="0" w:right="0"/>
              <w:keepNext/>
            </w:pPr>
            <w:r>
              <w:t>-5.330</w:t>
            </w:r>
          </w:p>
        </w:tc>
        <w:tc>
          <w:tcPr>
            <w:cnfStyle w:evenVBand="false" w:oddVBand="true" w:firstColumn="false"/>
            <w:tcW w:w="11.434303%" w:type="pct"/>
          </w:tcPr>
          <w:p>
            <w:pPr>
              <w:pStyle w:val="table-level-1"/>
              <w:ind w:leftChars="0" w:left="0" w:right="0"/>
              <w:keepNext/>
            </w:pPr>
            <w:r>
              <w:t>-4.552</w:t>
            </w:r>
          </w:p>
        </w:tc>
        <w:tc>
          <w:tcPr>
            <w:cnfStyle w:evenVBand="true" w:oddVBand="false" w:firstColumn="false"/>
            <w:tcW w:w="11.434303%" w:type="pct"/>
          </w:tcPr>
          <w:p>
            <w:pPr>
              <w:pStyle w:val="table-level-1"/>
              <w:ind w:leftChars="0" w:left="0" w:right="0"/>
              <w:keepNext/>
            </w:pPr>
            <w:r>
              <w:t>-3.762</w:t>
            </w:r>
          </w:p>
        </w:tc>
        <w:tc>
          <w:tcPr>
            <w:cnfStyle w:evenVBand="false" w:oddVBand="true" w:firstColumn="false"/>
            <w:tcW w:w="11.434303%" w:type="pct"/>
          </w:tcPr>
          <w:p>
            <w:pPr>
              <w:pStyle w:val="table-level-1"/>
              <w:ind w:leftChars="0" w:left="0" w:right="0"/>
              <w:keepNext/>
            </w:pPr>
            <w:r>
              <w:t>-3.498</w:t>
            </w:r>
          </w:p>
        </w:tc>
        <w:tc>
          <w:tcPr>
            <w:cnfStyle w:evenVBand="true" w:oddVBand="false" w:firstColumn="false"/>
            <w:tcW w:w="11.434303%" w:type="pct"/>
          </w:tcPr>
          <w:p>
            <w:pPr>
              <w:pStyle w:val="table-level-1"/>
              <w:ind w:leftChars="0" w:left="0" w:right="0"/>
              <w:keepNext/>
            </w:pPr>
            <w:r>
              <w:t>-3.073</w:t>
            </w:r>
          </w:p>
        </w:tc>
        <w:tc>
          <w:tcPr>
            <w:cnfStyle w:evenVBand="false" w:oddVBand="true" w:firstColumn="false"/>
            <w:tcW w:w="11.434303%" w:type="pct"/>
          </w:tcPr>
          <w:p>
            <w:pPr>
              <w:pStyle w:val="table-level-1"/>
              <w:ind w:leftChars="0" w:left="0" w:right="0"/>
              <w:keepNext/>
            </w:pPr>
            <w:r>
              <w:t>-2.886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6058206260392dd230652bc4d1331d06">
              <w:r>
                <w:rPr>
                  <w:rStyle w:val="Hyperlink"/>
                </w:rPr>
                <w:t>Materie prime e merci</w:t>
              </w:r>
            </w:hyperlink>
          </w:p>
        </w:tc>
        <w:tc>
          <w:tcPr>
            <w:cnfStyle w:evenVBand="true" w:oddVBand="false" w:firstColumn="false"/>
            <w:tcW w:w="11.434303%" w:type="pct"/>
          </w:tcPr>
          <w:p>
            <w:pPr>
              <w:pStyle w:val="table-level-0"/>
              <w:ind w:leftChars="0" w:left="0" w:right="0"/>
              <w:keepNext/>
            </w:pPr>
            <w:r>
              <w:t>-1.100</w:t>
            </w:r>
          </w:p>
        </w:tc>
        <w:tc>
          <w:tcPr>
            <w:cnfStyle w:evenVBand="false" w:oddVBand="true" w:firstColumn="false"/>
            <w:tcW w:w="11.434303%" w:type="pct"/>
          </w:tcPr>
          <w:p>
            <w:pPr>
              <w:pStyle w:val="table-level-0"/>
              <w:ind w:leftChars="0" w:left="0" w:right="0"/>
              <w:keepNext/>
            </w:pPr>
            <w:r>
              <w:t>-830</w:t>
            </w:r>
          </w:p>
        </w:tc>
        <w:tc>
          <w:tcPr>
            <w:cnfStyle w:evenVBand="true" w:oddVBand="false" w:firstColumn="false"/>
            <w:tcW w:w="11.434303%" w:type="pct"/>
          </w:tcPr>
          <w:p>
            <w:pPr>
              <w:pStyle w:val="table-level-0"/>
              <w:ind w:leftChars="0" w:left="0" w:right="0"/>
              <w:keepNext/>
            </w:pPr>
            <w:r>
              <w:t>-645</w:t>
            </w:r>
          </w:p>
        </w:tc>
        <w:tc>
          <w:tcPr>
            <w:cnfStyle w:evenVBand="false" w:oddVBand="true" w:firstColumn="false"/>
            <w:tcW w:w="11.434303%" w:type="pct"/>
          </w:tcPr>
          <w:p>
            <w:pPr>
              <w:pStyle w:val="table-level-0"/>
              <w:ind w:leftChars="0" w:left="0" w:right="0"/>
              <w:keepNext/>
            </w:pPr>
            <w:r>
              <w:t>-570</w:t>
            </w:r>
          </w:p>
        </w:tc>
        <w:tc>
          <w:tcPr>
            <w:cnfStyle w:evenVBand="true" w:oddVBand="false" w:firstColumn="false"/>
            <w:tcW w:w="11.434303%" w:type="pct"/>
          </w:tcPr>
          <w:p>
            <w:pPr>
              <w:pStyle w:val="table-level-0"/>
              <w:ind w:leftChars="0" w:left="0" w:right="0"/>
              <w:keepNext/>
            </w:pPr>
            <w:r>
              <w:t>-547,5</w:t>
            </w:r>
          </w:p>
        </w:tc>
        <w:tc>
          <w:tcPr>
            <w:cnfStyle w:evenVBand="false" w:oddVBand="true" w:firstColumn="false"/>
            <w:tcW w:w="11.434303%" w:type="pct"/>
          </w:tcPr>
          <w:p>
            <w:pPr>
              <w:pStyle w:val="table-level-0"/>
              <w:ind w:leftChars="0" w:left="0" w:right="0"/>
              <w:keepNext/>
            </w:pPr>
            <w:r>
              <w:t>-494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Variazione rimanenze acquisti</w:t>
            </w:r>
          </w:p>
        </w:tc>
        <w:tc>
          <w:tcPr>
            <w:cnfStyle w:evenVBand="true" w:oddVBand="false" w:firstColumn="false"/>
            <w:tcW w:w="11.434303%" w:type="pct"/>
          </w:tcPr>
          <w:p>
            <w:pPr>
              <w:pStyle w:val="table-level-0"/>
              <w:ind w:leftChars="0" w:left="0" w:right="0"/>
              <w:keepNext/>
            </w:pPr>
            <w:r>
              <w:t>11,9</w:t>
            </w:r>
          </w:p>
        </w:tc>
        <w:tc>
          <w:tcPr>
            <w:cnfStyle w:evenVBand="false" w:oddVBand="true" w:firstColumn="false"/>
            <w:tcW w:w="11.434303%" w:type="pct"/>
          </w:tcPr>
          <w:p>
            <w:pPr>
              <w:pStyle w:val="table-level-0"/>
              <w:ind w:leftChars="0" w:left="0" w:right="0"/>
              <w:keepNext/>
            </w:pPr>
            <w:r>
              <w:t>8,9</w:t>
            </w:r>
          </w:p>
        </w:tc>
        <w:tc>
          <w:tcPr>
            <w:cnfStyle w:evenVBand="true" w:oddVBand="false" w:firstColumn="false"/>
            <w:tcW w:w="11.434303%" w:type="pct"/>
          </w:tcPr>
          <w:p>
            <w:pPr>
              <w:pStyle w:val="table-level-0"/>
              <w:ind w:leftChars="0" w:left="0" w:right="0"/>
              <w:keepNext/>
            </w:pPr>
            <w:r>
              <w:t>6,55</w:t>
            </w:r>
          </w:p>
        </w:tc>
        <w:tc>
          <w:tcPr>
            <w:cnfStyle w:evenVBand="false" w:oddVBand="true" w:firstColumn="false"/>
            <w:tcW w:w="11.434303%" w:type="pct"/>
          </w:tcPr>
          <w:p>
            <w:pPr>
              <w:pStyle w:val="table-level-0"/>
              <w:ind w:leftChars="0" w:left="0" w:right="0"/>
              <w:keepNext/>
            </w:pPr>
            <w:r>
              <w:t>1,95</w:t>
            </w:r>
          </w:p>
        </w:tc>
        <w:tc>
          <w:tcPr>
            <w:cnfStyle w:evenVBand="true" w:oddVBand="false" w:firstColumn="false"/>
            <w:tcW w:w="11.434303%" w:type="pct"/>
          </w:tcPr>
          <w:p>
            <w:pPr>
              <w:pStyle w:val="table-level-0"/>
              <w:ind w:leftChars="0" w:left="0" w:right="0"/>
              <w:keepNext/>
            </w:pPr>
            <w:r>
              <w:t>1,95</w:t>
            </w:r>
          </w:p>
        </w:tc>
        <w:tc>
          <w:tcPr>
            <w:cnfStyle w:evenVBand="false" w:oddVBand="true" w:firstColumn="false"/>
            <w:tcW w:w="11.434303%" w:type="pct"/>
          </w:tcPr>
          <w:p>
            <w:pPr>
              <w:pStyle w:val="table-level-0"/>
              <w:ind w:leftChars="0" w:left="0" w:right="0"/>
              <w:keepNext/>
            </w:pPr>
            <w:r>
              <w:t>1,95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9489c45190dd5bde181e95ef2f9d7f7d">
              <w:r>
                <w:rPr>
                  <w:rStyle w:val="Hyperlink"/>
                </w:rPr>
                <w:t>Servizi</w:t>
              </w:r>
            </w:hyperlink>
          </w:p>
        </w:tc>
        <w:tc>
          <w:tcPr>
            <w:cnfStyle w:evenVBand="true" w:oddVBand="false" w:firstColumn="false"/>
            <w:tcW w:w="11.434303%" w:type="pct"/>
          </w:tcPr>
          <w:p>
            <w:pPr>
              <w:pStyle w:val="table-level-0"/>
              <w:ind w:leftChars="0" w:left="0" w:right="0"/>
              <w:keepNext/>
            </w:pPr>
            <w:r>
              <w:t>-2.995</w:t>
            </w:r>
          </w:p>
        </w:tc>
        <w:tc>
          <w:tcPr>
            <w:cnfStyle w:evenVBand="false" w:oddVBand="true" w:firstColumn="false"/>
            <w:tcW w:w="11.434303%" w:type="pct"/>
          </w:tcPr>
          <w:p>
            <w:pPr>
              <w:pStyle w:val="table-level-0"/>
              <w:ind w:leftChars="0" w:left="0" w:right="0"/>
              <w:keepNext/>
            </w:pPr>
            <w:r>
              <w:t>-2.560</w:t>
            </w:r>
          </w:p>
        </w:tc>
        <w:tc>
          <w:tcPr>
            <w:cnfStyle w:evenVBand="true" w:oddVBand="false" w:firstColumn="false"/>
            <w:tcW w:w="11.434303%" w:type="pct"/>
          </w:tcPr>
          <w:p>
            <w:pPr>
              <w:pStyle w:val="table-level-0"/>
              <w:ind w:leftChars="0" w:left="0" w:right="0"/>
              <w:keepNext/>
            </w:pPr>
            <w:r>
              <w:t>-2.080</w:t>
            </w:r>
          </w:p>
        </w:tc>
        <w:tc>
          <w:tcPr>
            <w:cnfStyle w:evenVBand="false" w:oddVBand="true" w:firstColumn="false"/>
            <w:tcW w:w="11.434303%" w:type="pct"/>
          </w:tcPr>
          <w:p>
            <w:pPr>
              <w:pStyle w:val="table-level-0"/>
              <w:ind w:leftChars="0" w:left="0" w:right="0"/>
              <w:keepNext/>
            </w:pPr>
            <w:r>
              <w:t>-1.950</w:t>
            </w:r>
          </w:p>
        </w:tc>
        <w:tc>
          <w:tcPr>
            <w:cnfStyle w:evenVBand="true" w:oddVBand="false" w:firstColumn="false"/>
            <w:tcW w:w="11.434303%" w:type="pct"/>
          </w:tcPr>
          <w:p>
            <w:pPr>
              <w:pStyle w:val="table-level-0"/>
              <w:ind w:leftChars="0" w:left="0" w:right="0"/>
              <w:keepNext/>
            </w:pPr>
            <w:r>
              <w:t>-1.625</w:t>
            </w:r>
          </w:p>
        </w:tc>
        <w:tc>
          <w:tcPr>
            <w:cnfStyle w:evenVBand="false" w:oddVBand="true" w:firstColumn="false"/>
            <w:tcW w:w="11.434303%" w:type="pct"/>
          </w:tcPr>
          <w:p>
            <w:pPr>
              <w:pStyle w:val="table-level-0"/>
              <w:ind w:leftChars="0" w:left="0" w:right="0"/>
              <w:keepNext/>
            </w:pPr>
            <w:r>
              <w:t>-1.442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11da469f45d1ca9bbf8f211887729a4">
              <w:r>
                <w:rPr>
                  <w:rStyle w:val="Hyperlink"/>
                </w:rPr>
                <w:t>Godimento di beni di terzi</w:t>
              </w:r>
            </w:hyperlink>
          </w:p>
        </w:tc>
        <w:tc>
          <w:tcPr>
            <w:cnfStyle w:evenVBand="true" w:oddVBand="false" w:firstColumn="false"/>
            <w:tcW w:w="11.434303%" w:type="pct"/>
          </w:tcPr>
          <w:p>
            <w:pPr>
              <w:pStyle w:val="table-level-0"/>
              <w:ind w:leftChars="0" w:left="0" w:right="0"/>
              <w:keepNext/>
            </w:pPr>
            <w:r>
              <w:t>-126</w:t>
            </w:r>
          </w:p>
        </w:tc>
        <w:tc>
          <w:tcPr>
            <w:cnfStyle w:evenVBand="false" w:oddVBand="true" w:firstColumn="false"/>
            <w:tcW w:w="11.434303%" w:type="pct"/>
          </w:tcPr>
          <w:p>
            <w:pPr>
              <w:pStyle w:val="table-level-0"/>
              <w:ind w:leftChars="0" w:left="0" w:right="0"/>
              <w:keepNext/>
            </w:pPr>
            <w:r>
              <w:t>-112</w:t>
            </w:r>
          </w:p>
        </w:tc>
        <w:tc>
          <w:tcPr>
            <w:cnfStyle w:evenVBand="true" w:oddVBand="false" w:firstColumn="false"/>
            <w:tcW w:w="11.434303%" w:type="pct"/>
          </w:tcPr>
          <w:p>
            <w:pPr>
              <w:pStyle w:val="table-level-0"/>
              <w:ind w:leftChars="0" w:left="0" w:right="0"/>
              <w:keepNext/>
            </w:pPr>
            <w:r>
              <w:t>-102,5</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-77,5</w:t>
            </w:r>
          </w:p>
        </w:tc>
        <w:tc>
          <w:tcPr>
            <w:cnfStyle w:evenVBand="false" w:oddVBand="true" w:firstColumn="false"/>
            <w:tcW w:w="11.434303%" w:type="pct"/>
          </w:tcPr>
          <w:p>
            <w:pPr>
              <w:pStyle w:val="table-level-0"/>
              <w:ind w:leftChars="0" w:left="0" w:right="0"/>
              <w:keepNext/>
            </w:pPr>
            <w:r>
              <w:t>-185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31e1edc15acaabb6eb7bdcad23dfaca">
              <w:r>
                <w:rPr>
                  <w:rStyle w:val="Hyperlink"/>
                </w:rPr>
                <w:t>Personale</w:t>
              </w:r>
            </w:hyperlink>
          </w:p>
        </w:tc>
        <w:tc>
          <w:tcPr>
            <w:cnfStyle w:evenVBand="true" w:oddVBand="false" w:firstColumn="false"/>
            <w:tcW w:w="11.434303%" w:type="pct"/>
          </w:tcPr>
          <w:p>
            <w:pPr>
              <w:pStyle w:val="table-level-0"/>
              <w:ind w:leftChars="0" w:left="0" w:right="0"/>
              <w:keepNext/>
            </w:pPr>
            <w:r>
              <w:t>-983</w:t>
            </w:r>
          </w:p>
        </w:tc>
        <w:tc>
          <w:tcPr>
            <w:cnfStyle w:evenVBand="false" w:oddVBand="true" w:firstColumn="false"/>
            <w:tcW w:w="11.434303%" w:type="pct"/>
          </w:tcPr>
          <w:p>
            <w:pPr>
              <w:pStyle w:val="table-level-0"/>
              <w:ind w:leftChars="0" w:left="0" w:right="0"/>
              <w:keepNext/>
            </w:pPr>
            <w:r>
              <w:t>-929</w:t>
            </w:r>
          </w:p>
        </w:tc>
        <w:tc>
          <w:tcPr>
            <w:cnfStyle w:evenVBand="true" w:oddVBand="false" w:firstColumn="false"/>
            <w:tcW w:w="11.434303%" w:type="pct"/>
          </w:tcPr>
          <w:p>
            <w:pPr>
              <w:pStyle w:val="table-level-0"/>
              <w:ind w:leftChars="0" w:left="0" w:right="0"/>
              <w:keepNext/>
            </w:pPr>
            <w:r>
              <w:t>-810</w:t>
            </w:r>
          </w:p>
        </w:tc>
        <w:tc>
          <w:tcPr>
            <w:cnfStyle w:evenVBand="false" w:oddVBand="true" w:firstColumn="false"/>
            <w:tcW w:w="11.434303%" w:type="pct"/>
          </w:tcPr>
          <w:p>
            <w:pPr>
              <w:pStyle w:val="table-level-0"/>
              <w:ind w:leftChars="0" w:left="0" w:right="0"/>
              <w:keepNext/>
            </w:pPr>
            <w:r>
              <w:t>-760</w:t>
            </w:r>
          </w:p>
        </w:tc>
        <w:tc>
          <w:tcPr>
            <w:cnfStyle w:evenVBand="true" w:oddVBand="false" w:firstColumn="false"/>
            <w:tcW w:w="11.434303%" w:type="pct"/>
          </w:tcPr>
          <w:p>
            <w:pPr>
              <w:pStyle w:val="table-level-0"/>
              <w:ind w:leftChars="0" w:left="0" w:right="0"/>
              <w:keepNext/>
            </w:pPr>
            <w:r>
              <w:t>-720</w:t>
            </w:r>
          </w:p>
        </w:tc>
        <w:tc>
          <w:tcPr>
            <w:cnfStyle w:evenVBand="false" w:oddVBand="true" w:firstColumn="false"/>
            <w:tcW w:w="11.434303%" w:type="pct"/>
          </w:tcPr>
          <w:p>
            <w:pPr>
              <w:pStyle w:val="table-level-0"/>
              <w:ind w:leftChars="0" w:left="0" w:right="0"/>
              <w:keepNext/>
            </w:pPr>
            <w:r>
              <w:t>-690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fb9d00da0cb0252a2b01f666265ace05">
              <w:r>
                <w:rPr>
                  <w:rStyle w:val="Hyperlink"/>
                </w:rPr>
                <w:t>Accantonamenti rischi e oneri</w:t>
              </w:r>
            </w:hyperlink>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-27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0f83851ac160a36e5cd8a71827c28d6">
              <w:r>
                <w:rPr>
                  <w:rStyle w:val="Hyperlink"/>
                </w:rPr>
                <w:t>Oneri di gestione</w:t>
              </w:r>
            </w:hyperlink>
          </w:p>
        </w:tc>
        <w:tc>
          <w:tcPr>
            <w:cnfStyle w:evenVBand="true" w:oddVBand="false" w:firstColumn="false"/>
            <w:tcW w:w="11.434303%" w:type="pct"/>
          </w:tcPr>
          <w:p>
            <w:pPr>
              <w:pStyle w:val="table-level-0"/>
              <w:ind w:leftChars="0" w:left="0" w:right="0"/>
              <w:keepNext/>
            </w:pPr>
            <w:r>
              <w:t>-118</w:t>
            </w:r>
          </w:p>
        </w:tc>
        <w:tc>
          <w:tcPr>
            <w:cnfStyle w:evenVBand="false" w:oddVBand="true" w:firstColumn="false"/>
            <w:tcW w:w="11.434303%" w:type="pct"/>
          </w:tcPr>
          <w:p>
            <w:pPr>
              <w:pStyle w:val="table-level-0"/>
              <w:ind w:leftChars="0" w:left="0" w:right="0"/>
              <w:keepNext/>
            </w:pPr>
            <w:r>
              <w:t>-115</w:t>
            </w:r>
          </w:p>
        </w:tc>
        <w:tc>
          <w:tcPr>
            <w:cnfStyle w:evenVBand="true" w:oddVBand="false" w:firstColumn="false"/>
            <w:tcW w:w="11.434303%" w:type="pct"/>
          </w:tcPr>
          <w:p>
            <w:pPr>
              <w:pStyle w:val="table-level-0"/>
              <w:ind w:leftChars="0" w:left="0" w:right="0"/>
              <w:keepNext/>
            </w:pPr>
            <w:r>
              <w:t>-106</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-50</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r>
              <w:t>Reddito operativo lordo</w:t>
            </w:r>
          </w:p>
        </w:tc>
        <w:tc>
          <w:tcPr>
            <w:cnfStyle w:evenVBand="true" w:oddVBand="false" w:firstColumn="false"/>
            <w:tcW w:w="11.434303%" w:type="pct"/>
          </w:tcPr>
          <w:p>
            <w:pPr>
              <w:pStyle w:val="table-level-300"/>
              <w:ind w:leftChars="0" w:left="0" w:right="0"/>
              <w:keepNext/>
            </w:pPr>
            <w:r>
              <w:t>1.573</w:t>
            </w:r>
          </w:p>
        </w:tc>
        <w:tc>
          <w:tcPr>
            <w:cnfStyle w:evenVBand="false" w:oddVBand="true" w:firstColumn="false"/>
            <w:tcW w:w="11.434303%" w:type="pct"/>
          </w:tcPr>
          <w:p>
            <w:pPr>
              <w:pStyle w:val="table-level-300"/>
              <w:ind w:leftChars="0" w:left="0" w:right="0"/>
              <w:keepNext/>
            </w:pPr>
            <w:r>
              <w:t>1.746</w:t>
            </w:r>
          </w:p>
        </w:tc>
        <w:tc>
          <w:tcPr>
            <w:cnfStyle w:evenVBand="true" w:oddVBand="false" w:firstColumn="false"/>
            <w:tcW w:w="11.434303%" w:type="pct"/>
          </w:tcPr>
          <w:p>
            <w:pPr>
              <w:pStyle w:val="table-level-300"/>
              <w:ind w:leftChars="0" w:left="0" w:right="0"/>
              <w:keepNext/>
            </w:pPr>
            <w:r>
              <w:t>1.772</w:t>
            </w:r>
          </w:p>
        </w:tc>
        <w:tc>
          <w:tcPr>
            <w:cnfStyle w:evenVBand="false" w:oddVBand="true" w:firstColumn="false"/>
            <w:tcW w:w="11.434303%" w:type="pct"/>
          </w:tcPr>
          <w:p>
            <w:pPr>
              <w:pStyle w:val="table-level-300"/>
              <w:ind w:leftChars="0" w:left="0" w:right="0"/>
              <w:keepNext/>
            </w:pPr>
            <w:r>
              <w:t>1.455</w:t>
            </w:r>
          </w:p>
        </w:tc>
        <w:tc>
          <w:tcPr>
            <w:cnfStyle w:evenVBand="true" w:oddVBand="false" w:firstColumn="false"/>
            <w:tcW w:w="11.434303%" w:type="pct"/>
          </w:tcPr>
          <w:p>
            <w:pPr>
              <w:pStyle w:val="table-level-300"/>
              <w:ind w:leftChars="0" w:left="0" w:right="0"/>
              <w:keepNext/>
            </w:pPr>
            <w:r>
              <w:t>888,2</w:t>
            </w:r>
          </w:p>
        </w:tc>
        <w:tc>
          <w:tcPr>
            <w:cnfStyle w:evenVBand="false" w:oddVBand="true" w:firstColumn="false"/>
            <w:tcW w:w="11.434303%" w:type="pct"/>
          </w:tcPr>
          <w:p>
            <w:pPr>
              <w:pStyle w:val="table-level-300"/>
              <w:ind w:leftChars="0" w:left="0" w:right="0"/>
              <w:keepNext/>
            </w:pPr>
            <w:r>
              <w:t>1.086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60e0795f9b504537b805cbec55378a88">
              <w:r>
                <w:rPr>
                  <w:rStyle w:val="Hyperlink"/>
                </w:rPr>
                <w:t>Ammortamenti e svalutazioni</w:t>
              </w:r>
            </w:hyperlink>
          </w:p>
        </w:tc>
        <w:tc>
          <w:tcPr>
            <w:cnfStyle w:evenVBand="true" w:oddVBand="false" w:firstColumn="false"/>
            <w:tcW w:w="11.434303%" w:type="pct"/>
          </w:tcPr>
          <w:p>
            <w:pPr>
              <w:pStyle w:val="table-level-1"/>
              <w:ind w:leftChars="0" w:left="0" w:right="0"/>
              <w:keepNext/>
            </w:pPr>
            <w:r>
              <w:t>-405,4</w:t>
            </w:r>
          </w:p>
        </w:tc>
        <w:tc>
          <w:tcPr>
            <w:cnfStyle w:evenVBand="false" w:oddVBand="true" w:firstColumn="false"/>
            <w:tcW w:w="11.434303%" w:type="pct"/>
          </w:tcPr>
          <w:p>
            <w:pPr>
              <w:pStyle w:val="table-level-1"/>
              <w:ind w:leftChars="0" w:left="0" w:right="0"/>
              <w:keepNext/>
            </w:pPr>
            <w:r>
              <w:t>-345,8</w:t>
            </w:r>
          </w:p>
        </w:tc>
        <w:tc>
          <w:tcPr>
            <w:cnfStyle w:evenVBand="true" w:oddVBand="false" w:firstColumn="false"/>
            <w:tcW w:w="11.434303%" w:type="pct"/>
          </w:tcPr>
          <w:p>
            <w:pPr>
              <w:pStyle w:val="table-level-1"/>
              <w:ind w:leftChars="0" w:left="0" w:right="0"/>
              <w:keepNext/>
            </w:pPr>
            <w:r>
              <w:t>-274,7</w:t>
            </w:r>
          </w:p>
        </w:tc>
        <w:tc>
          <w:tcPr>
            <w:cnfStyle w:evenVBand="false" w:oddVBand="true" w:firstColumn="false"/>
            <w:tcW w:w="11.434303%" w:type="pct"/>
          </w:tcPr>
          <w:p>
            <w:pPr>
              <w:pStyle w:val="table-level-1"/>
              <w:ind w:leftChars="0" w:left="0" w:right="0"/>
              <w:keepNext/>
            </w:pPr>
            <w:r>
              <w:t>-251,7</w:t>
            </w:r>
          </w:p>
        </w:tc>
        <w:tc>
          <w:tcPr>
            <w:cnfStyle w:evenVBand="true" w:oddVBand="false" w:firstColumn="false"/>
            <w:tcW w:w="11.434303%" w:type="pct"/>
          </w:tcPr>
          <w:p>
            <w:pPr>
              <w:pStyle w:val="table-level-1"/>
              <w:ind w:leftChars="0" w:left="0" w:right="0"/>
              <w:keepNext/>
            </w:pPr>
            <w:r>
              <w:t>-214,7</w:t>
            </w:r>
          </w:p>
        </w:tc>
        <w:tc>
          <w:tcPr>
            <w:cnfStyle w:evenVBand="false" w:oddVBand="true" w:firstColumn="false"/>
            <w:tcW w:w="11.434303%" w:type="pct"/>
          </w:tcPr>
          <w:p>
            <w:pPr>
              <w:pStyle w:val="table-level-1"/>
              <w:ind w:leftChars="0" w:left="0" w:right="0"/>
              <w:keepNext/>
            </w:pPr>
            <w:r>
              <w:t>-184,1</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7ab22a4aa44ee65d88c3f8c0dc702674">
              <w:r>
                <w:rPr>
                  <w:rStyle w:val="Hyperlink"/>
                </w:rPr>
                <w:t>Ammortamenti</w:t>
              </w:r>
            </w:hyperlink>
          </w:p>
        </w:tc>
        <w:tc>
          <w:tcPr>
            <w:cnfStyle w:evenVBand="true" w:oddVBand="false" w:firstColumn="false"/>
            <w:tcW w:w="11.434303%" w:type="pct"/>
          </w:tcPr>
          <w:p>
            <w:pPr>
              <w:pStyle w:val="table-level-0"/>
              <w:ind w:leftChars="0" w:left="0" w:right="0"/>
              <w:keepNext/>
            </w:pPr>
            <w:r>
              <w:t>-403,4</w:t>
            </w:r>
          </w:p>
        </w:tc>
        <w:tc>
          <w:tcPr>
            <w:cnfStyle w:evenVBand="false" w:oddVBand="true" w:firstColumn="false"/>
            <w:tcW w:w="11.434303%" w:type="pct"/>
          </w:tcPr>
          <w:p>
            <w:pPr>
              <w:pStyle w:val="table-level-0"/>
              <w:ind w:leftChars="0" w:left="0" w:right="0"/>
              <w:keepNext/>
            </w:pPr>
            <w:r>
              <w:t>-343,8</w:t>
            </w:r>
          </w:p>
        </w:tc>
        <w:tc>
          <w:tcPr>
            <w:cnfStyle w:evenVBand="true" w:oddVBand="false" w:firstColumn="false"/>
            <w:tcW w:w="11.434303%" w:type="pct"/>
          </w:tcPr>
          <w:p>
            <w:pPr>
              <w:pStyle w:val="table-level-0"/>
              <w:ind w:leftChars="0" w:left="0" w:right="0"/>
              <w:keepNext/>
            </w:pPr>
            <w:r>
              <w:t>-273,2</w:t>
            </w:r>
          </w:p>
        </w:tc>
        <w:tc>
          <w:tcPr>
            <w:cnfStyle w:evenVBand="false" w:oddVBand="true" w:firstColumn="false"/>
            <w:tcW w:w="11.434303%" w:type="pct"/>
          </w:tcPr>
          <w:p>
            <w:pPr>
              <w:pStyle w:val="table-level-0"/>
              <w:ind w:leftChars="0" w:left="0" w:right="0"/>
              <w:keepNext/>
            </w:pPr>
            <w:r>
              <w:t>-249,2</w:t>
            </w:r>
          </w:p>
        </w:tc>
        <w:tc>
          <w:tcPr>
            <w:cnfStyle w:evenVBand="true" w:oddVBand="false" w:firstColumn="false"/>
            <w:tcW w:w="11.434303%" w:type="pct"/>
          </w:tcPr>
          <w:p>
            <w:pPr>
              <w:pStyle w:val="table-level-0"/>
              <w:ind w:leftChars="0" w:left="0" w:right="0"/>
              <w:keepNext/>
            </w:pPr>
            <w:r>
              <w:t>-211,2</w:t>
            </w:r>
          </w:p>
        </w:tc>
        <w:tc>
          <w:tcPr>
            <w:cnfStyle w:evenVBand="false" w:oddVBand="true" w:firstColumn="false"/>
            <w:tcW w:w="11.434303%" w:type="pct"/>
          </w:tcPr>
          <w:p>
            <w:pPr>
              <w:pStyle w:val="table-level-0"/>
              <w:ind w:leftChars="0" w:left="0" w:right="0"/>
              <w:keepNext/>
            </w:pPr>
            <w:r>
              <w:t>-180,6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64bbf09fba80798327fabea461779ae6">
              <w:r>
                <w:rPr>
                  <w:rStyle w:val="Hyperlink"/>
                </w:rPr>
                <w:t>Svalutazioni immob. e crediti</w:t>
              </w:r>
            </w:hyperlink>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-3,5</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hyperlink w:anchor="_35393d0452d9eb2940c4cb6a28a38f1a">
              <w:r>
                <w:rPr>
                  <w:rStyle w:val="Hyperlink"/>
                </w:rPr>
                <w:t>Reddito operativo</w:t>
              </w:r>
            </w:hyperlink>
          </w:p>
        </w:tc>
        <w:tc>
          <w:tcPr>
            <w:cnfStyle w:evenVBand="true" w:oddVBand="false" w:firstColumn="false"/>
            <w:tcW w:w="11.434303%" w:type="pct"/>
          </w:tcPr>
          <w:p>
            <w:pPr>
              <w:pStyle w:val="table-level-300"/>
              <w:ind w:leftChars="0" w:left="0" w:right="0"/>
              <w:keepNext/>
            </w:pPr>
            <w:r>
              <w:t>1.168</w:t>
            </w:r>
          </w:p>
        </w:tc>
        <w:tc>
          <w:tcPr>
            <w:cnfStyle w:evenVBand="false" w:oddVBand="true" w:firstColumn="false"/>
            <w:tcW w:w="11.434303%" w:type="pct"/>
          </w:tcPr>
          <w:p>
            <w:pPr>
              <w:pStyle w:val="table-level-300"/>
              <w:ind w:leftChars="0" w:left="0" w:right="0"/>
              <w:keepNext/>
            </w:pPr>
            <w:r>
              <w:t>1.400</w:t>
            </w:r>
          </w:p>
        </w:tc>
        <w:tc>
          <w:tcPr>
            <w:cnfStyle w:evenVBand="true" w:oddVBand="false" w:firstColumn="false"/>
            <w:tcW w:w="11.434303%" w:type="pct"/>
          </w:tcPr>
          <w:p>
            <w:pPr>
              <w:pStyle w:val="table-level-300"/>
              <w:ind w:leftChars="0" w:left="0" w:right="0"/>
              <w:keepNext/>
            </w:pPr>
            <w:r>
              <w:t>1.497</w:t>
            </w:r>
          </w:p>
        </w:tc>
        <w:tc>
          <w:tcPr>
            <w:cnfStyle w:evenVBand="false" w:oddVBand="true" w:firstColumn="false"/>
            <w:tcW w:w="11.434303%" w:type="pct"/>
          </w:tcPr>
          <w:p>
            <w:pPr>
              <w:pStyle w:val="table-level-300"/>
              <w:ind w:leftChars="0" w:left="0" w:right="0"/>
              <w:keepNext/>
            </w:pPr>
            <w:r>
              <w:t>1.204</w:t>
            </w:r>
          </w:p>
        </w:tc>
        <w:tc>
          <w:tcPr>
            <w:cnfStyle w:evenVBand="true" w:oddVBand="false" w:firstColumn="false"/>
            <w:tcW w:w="11.434303%" w:type="pct"/>
          </w:tcPr>
          <w:p>
            <w:pPr>
              <w:pStyle w:val="table-level-300"/>
              <w:ind w:leftChars="0" w:left="0" w:right="0"/>
              <w:keepNext/>
            </w:pPr>
            <w:r>
              <w:t>673,6</w:t>
            </w:r>
          </w:p>
        </w:tc>
        <w:tc>
          <w:tcPr>
            <w:cnfStyle w:evenVBand="false" w:oddVBand="true" w:firstColumn="false"/>
            <w:tcW w:w="11.434303%" w:type="pct"/>
          </w:tcPr>
          <w:p>
            <w:pPr>
              <w:pStyle w:val="table-level-300"/>
              <w:ind w:leftChars="0" w:left="0" w:right="0"/>
              <w:keepNext/>
            </w:pPr>
            <w:r>
              <w:t>901,8</w:t>
            </w:r>
          </w:p>
        </w:tc>
      </w:tr>
    </w:tbl>
    <w:p>
      <w:pPr>
        <w:pStyle w:val="TableBottomMargin"/>
      </w:pPr>
    </w:p>
    <w:p>
      <w:pPr>
        <w:pStyle w:val="BodyText"/>
        <w:ind w:leftChars="0" w:left="0" w:right="0"/>
      </w:pPr>
      <w:r>
        <w:t xml:space="preserve">Dal prospetto si evince che al 31 dicembre 2022 il valore della voce </w:t>
      </w:r>
      <w:r>
        <w:rPr>
          <w:i/>
          <w:iCs/>
        </w:rPr>
        <w:t>Reddito operativo</w:t>
      </w:r>
      <w:r>
        <w:t xml:space="preserve"> è pari a € 1.167.503 ed è in diminuzione del 17% rispetto al 31 dicembre 2021.</w:t>
      </w:r>
    </w:p>
    <w:p>
      <w:pPr>
        <w:pStyle w:val="BodyText"/>
        <w:ind w:leftChars="0" w:left="0" w:right="0"/>
      </w:pPr>
      <w:r>
        <w:t xml:space="preserve">Il grafico seguente mostra l’analisi dell’andamento della voce </w:t>
      </w:r>
      <w:r>
        <w:rPr>
          <w:i/>
          <w:iCs/>
        </w:rPr>
        <w:t>Reddito operativo</w:t>
      </w:r>
      <w:r>
        <w:t xml:space="preserve"> dal 31 dicembre 2017 al 31 dicembre 2022. Nel periodo evidenziato, il valore medio è stato pari a € 1.140.642.</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2" name="927c8af82af6843baeb5a8181beb9669.png" descr="_static/temp/927c8af82af6843baeb5a8181beb9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927c8af82af6843baeb5a8181beb9669.png" descr="_static/temp/927c8af82af6843baeb5a8181beb9669.png"/>
                    <pic:cNvPicPr>
                      <a:picLocks noChangeAspect="1" noChangeArrowheads="1"/>
                    </pic:cNvPicPr>
                  </pic:nvPicPr>
                  <pic:blipFill>
                    <a:blip xmlns:r="http://schemas.openxmlformats.org/officeDocument/2006/relationships" r:embed="rId8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Reddito operativo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3" name="18855751a51abfa9dcf9b147166d8bdb.png" descr="_static/temp/18855751a51abfa9dcf9b147166d8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8855751a51abfa9dcf9b147166d8bdb.png" descr="_static/temp/18855751a51abfa9dcf9b147166d8bdb.png"/>
                    <pic:cNvPicPr>
                      <a:picLocks noChangeAspect="1" noChangeArrowheads="1"/>
                    </pic:cNvPicPr>
                  </pic:nvPicPr>
                  <pic:blipFill>
                    <a:blip xmlns:r="http://schemas.openxmlformats.org/officeDocument/2006/relationships" r:embed="rId86"/>
                    <a:srcRect/>
                    <a:stretch>
                      <a:fillRect/>
                    </a:stretch>
                  </pic:blipFill>
                  <pic:spPr bwMode="auto">
                    <a:xfrm>
                      <a:off x="0" y="0"/>
                      <a:ext cx="6476365" cy="3266766"/>
                    </a:xfrm>
                    <a:prstGeom prst="rect">
                      <a:avLst/>
                    </a:prstGeom>
                    <a:noFill/>
                  </pic:spPr>
                </pic:pic>
              </a:graphicData>
            </a:graphic>
          </wp:inline>
        </w:drawing>
      </w:r>
    </w:p>
    <w:bookmarkStart w:id="548" w:name="_775e0f8f9a2cc81b1521c78123f84958"/>
    <w:bookmarkStart w:id="549" w:name="_c32ee55f1db7eaf113637e0261ea516c"/>
    <w:p>
      <w:pPr>
        <w:pStyle w:val="Heading3"/>
        <w:keepNext/>
      </w:pPr>
      <w:r>
        <w:t>Valore della produzione</w:t>
      </w:r>
    </w:p>
    <w:p>
      <w:pPr>
        <w:pStyle w:val="BodyText"/>
        <w:ind w:leftChars="0" w:left="0" w:right="0"/>
      </w:pPr>
      <w:r>
        <w:t xml:space="preserve">La presente sottosezione della </w:t>
      </w:r>
      <w:hyperlink w:anchor="_35393d0452d9eb2940c4cb6a28a38f1a">
        <w:r>
          <w:rPr>
            <w:rStyle w:val="Hyperlink"/>
          </w:rPr>
          <w:t>Gestione operativa</w:t>
        </w:r>
      </w:hyperlink>
      <w:r>
        <w:t xml:space="preserve"> è dedicata al valore della produzione. Questo rappresenta il valore che l’impresa ha prodotto nel corso di ciascun esercizio e assomma al fatturato netto la variazione delle rimanenze di beni destinati alla vendita.</w:t>
      </w:r>
    </w:p>
    <w:p>
      <w:pPr>
        <w:pStyle w:val="BodyText"/>
        <w:ind w:leftChars="0" w:left="0" w:right="0"/>
      </w:pPr>
      <w:r>
        <w:t xml:space="preserve">Il prospetto seguente illustra il dettaglio analitico della voce </w:t>
      </w:r>
      <w:r>
        <w:rPr>
          <w:i/>
          <w:iCs/>
        </w:rPr>
        <w:t>Valore della produzione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32ee55f1db7eaf113637e0261ea516c">
              <w:r>
                <w:rPr>
                  <w:rStyle w:val="Hyperlink"/>
                </w:rPr>
                <w:t>Valore della produzione</w:t>
              </w:r>
            </w:hyperlink>
          </w:p>
        </w:tc>
        <w:tc>
          <w:tcPr>
            <w:cnfStyle w:evenVBand="true" w:oddVBand="false" w:firstColumn="false"/>
            <w:tcW w:w="11.434303%" w:type="pct"/>
          </w:tcPr>
          <w:p>
            <w:pPr>
              <w:pStyle w:val="table-level-1"/>
              <w:ind w:leftChars="0" w:left="0" w:right="0"/>
              <w:keepNext/>
            </w:pPr>
            <w:r>
              <w:t>6.903</w:t>
            </w:r>
          </w:p>
        </w:tc>
        <w:tc>
          <w:tcPr>
            <w:cnfStyle w:evenVBand="false" w:oddVBand="true" w:firstColumn="false"/>
            <w:tcW w:w="11.434303%" w:type="pct"/>
          </w:tcPr>
          <w:p>
            <w:pPr>
              <w:pStyle w:val="table-level-1"/>
              <w:ind w:leftChars="0" w:left="0" w:right="0"/>
              <w:keepNext/>
            </w:pPr>
            <w:r>
              <w:t>6.298</w:t>
            </w:r>
          </w:p>
        </w:tc>
        <w:tc>
          <w:tcPr>
            <w:cnfStyle w:evenVBand="true" w:oddVBand="false" w:firstColumn="false"/>
            <w:tcW w:w="11.434303%" w:type="pct"/>
          </w:tcPr>
          <w:p>
            <w:pPr>
              <w:pStyle w:val="table-level-1"/>
              <w:ind w:leftChars="0" w:left="0" w:right="0"/>
              <w:keepNext/>
            </w:pPr>
            <w:r>
              <w:t>5.534</w:t>
            </w:r>
          </w:p>
        </w:tc>
        <w:tc>
          <w:tcPr>
            <w:cnfStyle w:evenVBand="false" w:oddVBand="true" w:firstColumn="false"/>
            <w:tcW w:w="11.434303%" w:type="pct"/>
          </w:tcPr>
          <w:p>
            <w:pPr>
              <w:pStyle w:val="table-level-1"/>
              <w:ind w:leftChars="0" w:left="0" w:right="0"/>
              <w:keepNext/>
            </w:pPr>
            <w:r>
              <w:t>4.953</w:t>
            </w:r>
          </w:p>
        </w:tc>
        <w:tc>
          <w:tcPr>
            <w:cnfStyle w:evenVBand="true" w:oddVBand="false" w:firstColumn="false"/>
            <w:tcW w:w="11.434303%" w:type="pct"/>
          </w:tcPr>
          <w:p>
            <w:pPr>
              <w:pStyle w:val="table-level-1"/>
              <w:ind w:leftChars="0" w:left="0" w:right="0"/>
              <w:keepNext/>
            </w:pPr>
            <w:r>
              <w:t>3.961</w:t>
            </w:r>
          </w:p>
        </w:tc>
        <w:tc>
          <w:tcPr>
            <w:cnfStyle w:evenVBand="false" w:oddVBand="true" w:firstColumn="false"/>
            <w:tcW w:w="11.434303%" w:type="pct"/>
          </w:tcPr>
          <w:p>
            <w:pPr>
              <w:pStyle w:val="table-level-1"/>
              <w:ind w:leftChars="0" w:left="0" w:right="0"/>
              <w:keepNext/>
            </w:pPr>
            <w:r>
              <w:t>3.972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05a60ac4ff8150ca68b3f45082b051a">
              <w:r>
                <w:rPr>
                  <w:rStyle w:val="Hyperlink"/>
                </w:rPr>
                <w:t>Fatturato netto</w:t>
              </w:r>
            </w:hyperlink>
          </w:p>
        </w:tc>
        <w:tc>
          <w:tcPr>
            <w:cnfStyle w:evenVBand="true" w:oddVBand="false" w:firstColumn="false"/>
            <w:tcW w:w="11.434303%" w:type="pct"/>
          </w:tcPr>
          <w:p>
            <w:pPr>
              <w:pStyle w:val="table-level-0"/>
              <w:ind w:leftChars="0" w:left="0" w:right="0"/>
              <w:keepNext/>
            </w:pPr>
            <w:r>
              <w:t>6.850</w:t>
            </w:r>
          </w:p>
        </w:tc>
        <w:tc>
          <w:tcPr>
            <w:cnfStyle w:evenVBand="false" w:oddVBand="true" w:firstColumn="false"/>
            <w:tcW w:w="11.434303%" w:type="pct"/>
          </w:tcPr>
          <w:p>
            <w:pPr>
              <w:pStyle w:val="table-level-0"/>
              <w:ind w:leftChars="0" w:left="0" w:right="0"/>
              <w:keepNext/>
            </w:pPr>
            <w:r>
              <w:t>6.252</w:t>
            </w:r>
          </w:p>
        </w:tc>
        <w:tc>
          <w:tcPr>
            <w:cnfStyle w:evenVBand="true" w:oddVBand="false" w:firstColumn="false"/>
            <w:tcW w:w="11.434303%" w:type="pct"/>
          </w:tcPr>
          <w:p>
            <w:pPr>
              <w:pStyle w:val="table-level-0"/>
              <w:ind w:leftChars="0" w:left="0" w:right="0"/>
              <w:keepNext/>
            </w:pPr>
            <w:r>
              <w:t>5.485</w:t>
            </w:r>
          </w:p>
        </w:tc>
        <w:tc>
          <w:tcPr>
            <w:cnfStyle w:evenVBand="false" w:oddVBand="true" w:firstColumn="false"/>
            <w:tcW w:w="11.434303%" w:type="pct"/>
          </w:tcPr>
          <w:p>
            <w:pPr>
              <w:pStyle w:val="table-level-0"/>
              <w:ind w:leftChars="0" w:left="0" w:right="0"/>
              <w:keepNext/>
            </w:pPr>
            <w:r>
              <w:t>4.930</w:t>
            </w:r>
          </w:p>
        </w:tc>
        <w:tc>
          <w:tcPr>
            <w:cnfStyle w:evenVBand="true" w:oddVBand="false" w:firstColumn="false"/>
            <w:tcW w:w="11.434303%" w:type="pct"/>
          </w:tcPr>
          <w:p>
            <w:pPr>
              <w:pStyle w:val="table-level-0"/>
              <w:ind w:leftChars="0" w:left="0" w:right="0"/>
              <w:keepNext/>
            </w:pPr>
            <w:r>
              <w:t>3.850</w:t>
            </w:r>
          </w:p>
        </w:tc>
        <w:tc>
          <w:tcPr>
            <w:cnfStyle w:evenVBand="false" w:oddVBand="true" w:firstColumn="false"/>
            <w:tcW w:w="11.434303%" w:type="pct"/>
          </w:tcPr>
          <w:p>
            <w:pPr>
              <w:pStyle w:val="table-level-0"/>
              <w:ind w:leftChars="0" w:left="0" w:right="0"/>
              <w:keepNext/>
            </w:pPr>
            <w:r>
              <w:t>3.930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Variazione rimanenze vendite</w:t>
            </w:r>
          </w:p>
        </w:tc>
        <w:tc>
          <w:tcPr>
            <w:cnfStyle w:evenVBand="true" w:oddVBand="false" w:firstColumn="false"/>
            <w:tcW w:w="11.434303%" w:type="pct"/>
          </w:tcPr>
          <w:p>
            <w:pPr>
              <w:pStyle w:val="table-level-0"/>
              <w:ind w:leftChars="0" w:left="0" w:right="0"/>
              <w:keepNext/>
            </w:pPr>
            <w:r>
              <w:t>16</w:t>
            </w:r>
          </w:p>
        </w:tc>
        <w:tc>
          <w:tcPr>
            <w:cnfStyle w:evenVBand="false" w:oddVBand="true" w:firstColumn="false"/>
            <w:tcW w:w="11.434303%" w:type="pct"/>
          </w:tcPr>
          <w:p>
            <w:pPr>
              <w:pStyle w:val="table-level-0"/>
              <w:ind w:leftChars="0" w:left="0" w:right="0"/>
              <w:keepNext/>
            </w:pPr>
            <w:r>
              <w:t>19,5</w:t>
            </w:r>
          </w:p>
        </w:tc>
        <w:tc>
          <w:tcPr>
            <w:cnfStyle w:evenVBand="true" w:oddVBand="false" w:firstColumn="false"/>
            <w:tcW w:w="11.434303%" w:type="pct"/>
          </w:tcPr>
          <w:p>
            <w:pPr>
              <w:pStyle w:val="table-level-0"/>
              <w:ind w:leftChars="0" w:left="0" w:right="0"/>
              <w:keepNext/>
            </w:pPr>
            <w:r>
              <w:t>23,5</w:t>
            </w:r>
          </w:p>
        </w:tc>
        <w:tc>
          <w:tcPr>
            <w:cnfStyle w:evenVBand="false" w:oddVBand="true" w:firstColumn="false"/>
            <w:tcW w:w="11.434303%" w:type="pct"/>
          </w:tcPr>
          <w:p>
            <w:pPr>
              <w:pStyle w:val="table-level-0"/>
              <w:ind w:leftChars="0" w:left="0" w:right="0"/>
              <w:keepNext/>
            </w:pPr>
            <w:r>
              <w:t>1,85</w:t>
            </w:r>
          </w:p>
        </w:tc>
        <w:tc>
          <w:tcPr>
            <w:cnfStyle w:evenVBand="true" w:oddVBand="false" w:firstColumn="false"/>
            <w:tcW w:w="11.434303%" w:type="pct"/>
          </w:tcPr>
          <w:p>
            <w:pPr>
              <w:pStyle w:val="table-level-0"/>
              <w:ind w:leftChars="0" w:left="0" w:right="0"/>
              <w:keepNext/>
            </w:pPr>
            <w:r>
              <w:t>2,3</w:t>
            </w:r>
          </w:p>
        </w:tc>
        <w:tc>
          <w:tcPr>
            <w:cnfStyle w:evenVBand="false" w:oddVBand="true" w:firstColumn="false"/>
            <w:tcW w:w="11.434303%" w:type="pct"/>
          </w:tcPr>
          <w:p>
            <w:pPr>
              <w:pStyle w:val="table-level-0"/>
              <w:ind w:leftChars="0" w:left="0" w:right="0"/>
              <w:keepNext/>
            </w:pPr>
            <w:r>
              <w:t>20,4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aeb67d7738f685d27bca76561a7012a3">
              <w:r>
                <w:rPr>
                  <w:rStyle w:val="Hyperlink"/>
                </w:rPr>
                <w:t>Altri ricavi e proventi</w:t>
              </w:r>
            </w:hyperlink>
          </w:p>
        </w:tc>
        <w:tc>
          <w:tcPr>
            <w:cnfStyle w:evenVBand="true" w:oddVBand="false" w:firstColumn="false"/>
            <w:tcW w:w="11.434303%" w:type="pct"/>
          </w:tcPr>
          <w:p>
            <w:pPr>
              <w:pStyle w:val="table-level-0"/>
              <w:ind w:leftChars="0" w:left="0" w:right="0"/>
              <w:keepNext/>
            </w:pPr>
            <w:r>
              <w:t>37</w:t>
            </w:r>
          </w:p>
        </w:tc>
        <w:tc>
          <w:tcPr>
            <w:cnfStyle w:evenVBand="false" w:oddVBand="true" w:firstColumn="false"/>
            <w:tcW w:w="11.434303%" w:type="pct"/>
          </w:tcPr>
          <w:p>
            <w:pPr>
              <w:pStyle w:val="table-level-0"/>
              <w:ind w:leftChars="0" w:left="0" w:right="0"/>
              <w:keepNext/>
            </w:pPr>
            <w:r>
              <w:t>26</w:t>
            </w:r>
          </w:p>
        </w:tc>
        <w:tc>
          <w:tcPr>
            <w:cnfStyle w:evenVBand="true" w:oddVBand="false" w:firstColumn="false"/>
            <w:tcW w:w="11.434303%" w:type="pct"/>
          </w:tcPr>
          <w:p>
            <w:pPr>
              <w:pStyle w:val="table-level-0"/>
              <w:ind w:leftChars="0" w:left="0" w:right="0"/>
              <w:keepNext/>
            </w:pPr>
            <w:r>
              <w:t>25,5</w:t>
            </w:r>
          </w:p>
        </w:tc>
        <w:tc>
          <w:tcPr>
            <w:cnfStyle w:evenVBand="false" w:oddVBand="true" w:firstColumn="false"/>
            <w:tcW w:w="11.434303%" w:type="pct"/>
          </w:tcPr>
          <w:p>
            <w:pPr>
              <w:pStyle w:val="table-level-0"/>
              <w:ind w:leftChars="0" w:left="0" w:right="0"/>
              <w:keepNext/>
            </w:pPr>
            <w:r>
              <w:t>21,5</w:t>
            </w:r>
          </w:p>
        </w:tc>
        <w:tc>
          <w:tcPr>
            <w:cnfStyle w:evenVBand="true" w:oddVBand="false" w:firstColumn="false"/>
            <w:tcW w:w="11.434303%" w:type="pct"/>
          </w:tcPr>
          <w:p>
            <w:pPr>
              <w:pStyle w:val="table-level-0"/>
              <w:ind w:leftChars="0" w:left="0" w:right="0"/>
              <w:keepNext/>
            </w:pPr>
            <w:r>
              <w:t>109</w:t>
            </w:r>
          </w:p>
        </w:tc>
        <w:tc>
          <w:tcPr>
            <w:cnfStyle w:evenVBand="false" w:oddVBand="true" w:firstColumn="false"/>
            <w:tcW w:w="11.434303%" w:type="pct"/>
          </w:tcPr>
          <w:p>
            <w:pPr>
              <w:pStyle w:val="table-level-0"/>
              <w:ind w:leftChars="0" w:left="0" w:right="0"/>
              <w:keepNext/>
            </w:pPr>
            <w:r>
              <w:t>21,5</w:t>
            </w:r>
          </w:p>
        </w:tc>
      </w:tr>
    </w:tbl>
    <w:p>
      <w:pPr>
        <w:pStyle w:val="TableBottomMargin"/>
      </w:pPr>
    </w:p>
    <w:p>
      <w:pPr>
        <w:pStyle w:val="BodyText"/>
        <w:ind w:leftChars="0" w:left="0" w:right="0"/>
      </w:pPr>
      <w:r>
        <w:t xml:space="preserve">Dal prospetto si evince che al 31 dicembre 2022 il valore della voce </w:t>
      </w:r>
      <w:r>
        <w:rPr>
          <w:i/>
          <w:iCs/>
        </w:rPr>
        <w:t>Valore della produzione</w:t>
      </w:r>
      <w:r>
        <w:t xml:space="preserve"> è pari a € 6.903.000 ed è in crescita del 10% rispetto al 31 dicembre 2021.</w:t>
      </w:r>
    </w:p>
    <w:p>
      <w:pPr>
        <w:pStyle w:val="BodyText"/>
        <w:ind w:leftChars="0" w:left="0" w:right="0"/>
      </w:pPr>
      <w:r>
        <w:t xml:space="preserve">Il grafico seguente mostra l’analisi dell’andamento della voce </w:t>
      </w:r>
      <w:r>
        <w:rPr>
          <w:i/>
          <w:iCs/>
        </w:rPr>
        <w:t>Valore della produzione</w:t>
      </w:r>
      <w:r>
        <w:t xml:space="preserve"> dal 31 dicembre 2017 al 31 dicembre 2022. Nel periodo evidenziato, il valore medio è stato pari a € 5.270.258.</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4" name="d196b3ee708733e7fb531253eca67e0a.png" descr="_static/temp/d196b3ee708733e7fb531253eca67e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196b3ee708733e7fb531253eca67e0a.png" descr="_static/temp/d196b3ee708733e7fb531253eca67e0a.png"/>
                    <pic:cNvPicPr>
                      <a:picLocks noChangeAspect="1" noChangeArrowheads="1"/>
                    </pic:cNvPicPr>
                  </pic:nvPicPr>
                  <pic:blipFill>
                    <a:blip xmlns:r="http://schemas.openxmlformats.org/officeDocument/2006/relationships" r:embed="rId8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Valore della produzione</w:t>
      </w:r>
      <w:r>
        <w:t xml:space="preserve"> al 31 dicembre 2022, la componente più significativa è rappresentata dalla voce </w:t>
      </w:r>
      <w:r>
        <w:rPr>
          <w:i/>
          <w:iCs/>
        </w:rPr>
        <w:t>Fatturato netto</w:t>
      </w:r>
      <w:r>
        <w:t xml:space="preserve"> con un valore pari a 6.850.000 €. Il grafico seguente visualizza la ripartizione di tutte le componenti della voce </w:t>
      </w:r>
      <w:r>
        <w:rPr>
          <w:i/>
          <w:iCs/>
        </w:rPr>
        <w:t>Valore della produzione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5" name="6b6d8c9df0e28d1beff03da3aa86804a.png" descr="_static/temp/6b6d8c9df0e28d1beff03da3aa8680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b6d8c9df0e28d1beff03da3aa86804a.png" descr="_static/temp/6b6d8c9df0e28d1beff03da3aa86804a.png"/>
                    <pic:cNvPicPr>
                      <a:picLocks noChangeAspect="1" noChangeArrowheads="1"/>
                    </pic:cNvPicPr>
                  </pic:nvPicPr>
                  <pic:blipFill>
                    <a:blip xmlns:r="http://schemas.openxmlformats.org/officeDocument/2006/relationships" r:embed="rId88"/>
                    <a:srcRect/>
                    <a:stretch>
                      <a:fillRect/>
                    </a:stretch>
                  </pic:blipFill>
                  <pic:spPr bwMode="auto">
                    <a:xfrm>
                      <a:off x="0" y="0"/>
                      <a:ext cx="6476365" cy="3266766"/>
                    </a:xfrm>
                    <a:prstGeom prst="rect">
                      <a:avLst/>
                    </a:prstGeom>
                    <a:noFill/>
                  </pic:spPr>
                </pic:pic>
              </a:graphicData>
            </a:graphic>
          </wp:inline>
        </w:drawing>
      </w:r>
    </w:p>
    <w:bookmarkStart w:id="550" w:name="_f8715adb85b93b40a8220b779cea1d96"/>
    <w:bookmarkStart w:id="551" w:name="_305a60ac4ff8150ca68b3f45082b051a"/>
    <w:p>
      <w:pPr>
        <w:pStyle w:val="Heading4"/>
        <w:keepNext/>
      </w:pPr>
      <w:r>
        <w:t>Fatturato netto</w:t>
      </w:r>
    </w:p>
    <w:p>
      <w:pPr>
        <w:pStyle w:val="BodyText"/>
        <w:ind w:leftChars="0" w:left="0" w:right="0"/>
      </w:pPr>
      <w:r>
        <w:t xml:space="preserve">La presente sottosezione del </w:t>
      </w:r>
      <w:hyperlink w:anchor="_c32ee55f1db7eaf113637e0261ea516c">
        <w:r>
          <w:rPr>
            <w:rStyle w:val="Hyperlink"/>
          </w:rPr>
          <w:t>Valore della produzione</w:t>
        </w:r>
      </w:hyperlink>
      <w:r>
        <w:t xml:space="preserve"> è dedicata al fatturato netto. Questo è rappresentato dai ricavi per la vendita di prodotti o per prestazione di servizi, al netto di resi, abbuoni, premi, sconti ecc..</w:t>
      </w:r>
    </w:p>
    <w:p>
      <w:pPr>
        <w:pStyle w:val="BodyText"/>
        <w:ind w:leftChars="0" w:left="0" w:right="0"/>
      </w:pPr>
      <w:r>
        <w:t xml:space="preserve">Il prospetto seguente illustra il dettaglio analitico della voce </w:t>
      </w:r>
      <w:r>
        <w:rPr>
          <w:i/>
          <w:iCs/>
        </w:rPr>
        <w:t>Fatturato netto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05a60ac4ff8150ca68b3f45082b051a">
              <w:r>
                <w:rPr>
                  <w:rStyle w:val="Hyperlink"/>
                </w:rPr>
                <w:t>Fatturato netto</w:t>
              </w:r>
            </w:hyperlink>
          </w:p>
        </w:tc>
        <w:tc>
          <w:tcPr>
            <w:cnfStyle w:evenVBand="true" w:oddVBand="false" w:firstColumn="false"/>
            <w:tcW w:w="11.434303%" w:type="pct"/>
          </w:tcPr>
          <w:p>
            <w:pPr>
              <w:pStyle w:val="table-level-1"/>
              <w:ind w:leftChars="0" w:left="0" w:right="0"/>
              <w:keepNext/>
            </w:pPr>
            <w:r>
              <w:t>6.850</w:t>
            </w:r>
          </w:p>
        </w:tc>
        <w:tc>
          <w:tcPr>
            <w:cnfStyle w:evenVBand="false" w:oddVBand="true" w:firstColumn="false"/>
            <w:tcW w:w="11.434303%" w:type="pct"/>
          </w:tcPr>
          <w:p>
            <w:pPr>
              <w:pStyle w:val="table-level-1"/>
              <w:ind w:leftChars="0" w:left="0" w:right="0"/>
              <w:keepNext/>
            </w:pPr>
            <w:r>
              <w:t>6.252</w:t>
            </w:r>
          </w:p>
        </w:tc>
        <w:tc>
          <w:tcPr>
            <w:cnfStyle w:evenVBand="true" w:oddVBand="false" w:firstColumn="false"/>
            <w:tcW w:w="11.434303%" w:type="pct"/>
          </w:tcPr>
          <w:p>
            <w:pPr>
              <w:pStyle w:val="table-level-1"/>
              <w:ind w:leftChars="0" w:left="0" w:right="0"/>
              <w:keepNext/>
            </w:pPr>
            <w:r>
              <w:t>5.485</w:t>
            </w:r>
          </w:p>
        </w:tc>
        <w:tc>
          <w:tcPr>
            <w:cnfStyle w:evenVBand="false" w:oddVBand="true" w:firstColumn="false"/>
            <w:tcW w:w="11.434303%" w:type="pct"/>
          </w:tcPr>
          <w:p>
            <w:pPr>
              <w:pStyle w:val="table-level-1"/>
              <w:ind w:leftChars="0" w:left="0" w:right="0"/>
              <w:keepNext/>
            </w:pPr>
            <w:r>
              <w:t>4.930</w:t>
            </w:r>
          </w:p>
        </w:tc>
        <w:tc>
          <w:tcPr>
            <w:cnfStyle w:evenVBand="true" w:oddVBand="false" w:firstColumn="false"/>
            <w:tcW w:w="11.434303%" w:type="pct"/>
          </w:tcPr>
          <w:p>
            <w:pPr>
              <w:pStyle w:val="table-level-1"/>
              <w:ind w:leftChars="0" w:left="0" w:right="0"/>
              <w:keepNext/>
            </w:pPr>
            <w:r>
              <w:t>3.850</w:t>
            </w:r>
          </w:p>
        </w:tc>
        <w:tc>
          <w:tcPr>
            <w:cnfStyle w:evenVBand="false" w:oddVBand="true" w:firstColumn="false"/>
            <w:tcW w:w="11.434303%" w:type="pct"/>
          </w:tcPr>
          <w:p>
            <w:pPr>
              <w:pStyle w:val="table-level-1"/>
              <w:ind w:leftChars="0" w:left="0" w:right="0"/>
              <w:keepNext/>
            </w:pPr>
            <w:r>
              <w:t>3.930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Ricavi da cessione beni</w:t>
            </w:r>
          </w:p>
        </w:tc>
        <w:tc>
          <w:tcPr>
            <w:cnfStyle w:evenVBand="true" w:oddVBand="false" w:firstColumn="false"/>
            <w:tcW w:w="11.434303%" w:type="pct"/>
          </w:tcPr>
          <w:p>
            <w:pPr>
              <w:pStyle w:val="table-level-0"/>
              <w:ind w:leftChars="0" w:left="0" w:right="0"/>
              <w:keepNext/>
            </w:pPr>
            <w:r>
              <w:t>2.000</w:t>
            </w:r>
          </w:p>
        </w:tc>
        <w:tc>
          <w:tcPr>
            <w:cnfStyle w:evenVBand="false" w:oddVBand="true" w:firstColumn="false"/>
            <w:tcW w:w="11.434303%" w:type="pct"/>
          </w:tcPr>
          <w:p>
            <w:pPr>
              <w:pStyle w:val="table-level-0"/>
              <w:ind w:leftChars="0" w:left="0" w:right="0"/>
              <w:keepNext/>
            </w:pPr>
            <w:r>
              <w:t>2.000</w:t>
            </w:r>
          </w:p>
        </w:tc>
        <w:tc>
          <w:tcPr>
            <w:cnfStyle w:evenVBand="true" w:oddVBand="false" w:firstColumn="false"/>
            <w:tcW w:w="11.434303%" w:type="pct"/>
          </w:tcPr>
          <w:p>
            <w:pPr>
              <w:pStyle w:val="table-level-0"/>
              <w:ind w:leftChars="0" w:left="0" w:right="0"/>
              <w:keepNext/>
            </w:pPr>
            <w:r>
              <w:t>1.760</w:t>
            </w:r>
          </w:p>
        </w:tc>
        <w:tc>
          <w:tcPr>
            <w:cnfStyle w:evenVBand="false" w:oddVBand="true" w:firstColumn="false"/>
            <w:tcW w:w="11.434303%" w:type="pct"/>
          </w:tcPr>
          <w:p>
            <w:pPr>
              <w:pStyle w:val="table-level-0"/>
              <w:ind w:leftChars="0" w:left="0" w:right="0"/>
              <w:keepNext/>
            </w:pPr>
            <w:r>
              <w:t>1.600</w:t>
            </w:r>
          </w:p>
        </w:tc>
        <w:tc>
          <w:tcPr>
            <w:cnfStyle w:evenVBand="true" w:oddVBand="false" w:firstColumn="false"/>
            <w:tcW w:w="11.434303%" w:type="pct"/>
          </w:tcPr>
          <w:p>
            <w:pPr>
              <w:pStyle w:val="table-level-0"/>
              <w:ind w:leftChars="0" w:left="0" w:right="0"/>
              <w:keepNext/>
            </w:pPr>
            <w:r>
              <w:t>1.500</w:t>
            </w:r>
          </w:p>
        </w:tc>
        <w:tc>
          <w:tcPr>
            <w:cnfStyle w:evenVBand="false" w:oddVBand="true" w:firstColumn="false"/>
            <w:tcW w:w="11.434303%" w:type="pct"/>
          </w:tcPr>
          <w:p>
            <w:pPr>
              <w:pStyle w:val="table-level-0"/>
              <w:ind w:leftChars="0" w:left="0" w:right="0"/>
              <w:keepNext/>
            </w:pPr>
            <w:r>
              <w:t>1.600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Ricavi da prestazione servizi</w:t>
            </w:r>
          </w:p>
        </w:tc>
        <w:tc>
          <w:tcPr>
            <w:cnfStyle w:evenVBand="true" w:oddVBand="false" w:firstColumn="false"/>
            <w:tcW w:w="11.434303%" w:type="pct"/>
          </w:tcPr>
          <w:p>
            <w:pPr>
              <w:pStyle w:val="table-level-0"/>
              <w:ind w:leftChars="0" w:left="0" w:right="0"/>
              <w:keepNext/>
            </w:pPr>
            <w:r>
              <w:t>2.700</w:t>
            </w:r>
          </w:p>
        </w:tc>
        <w:tc>
          <w:tcPr>
            <w:cnfStyle w:evenVBand="false" w:oddVBand="true" w:firstColumn="false"/>
            <w:tcW w:w="11.434303%" w:type="pct"/>
          </w:tcPr>
          <w:p>
            <w:pPr>
              <w:pStyle w:val="table-level-0"/>
              <w:ind w:leftChars="0" w:left="0" w:right="0"/>
              <w:keepNext/>
            </w:pPr>
            <w:r>
              <w:t>2.500</w:t>
            </w:r>
          </w:p>
        </w:tc>
        <w:tc>
          <w:tcPr>
            <w:cnfStyle w:evenVBand="true" w:oddVBand="false" w:firstColumn="false"/>
            <w:tcW w:w="11.434303%" w:type="pct"/>
          </w:tcPr>
          <w:p>
            <w:pPr>
              <w:pStyle w:val="table-level-0"/>
              <w:ind w:leftChars="0" w:left="0" w:right="0"/>
              <w:keepNext/>
            </w:pPr>
            <w:r>
              <w:t>2.200</w:t>
            </w:r>
          </w:p>
        </w:tc>
        <w:tc>
          <w:tcPr>
            <w:cnfStyle w:evenVBand="false" w:oddVBand="true" w:firstColumn="false"/>
            <w:tcW w:w="11.434303%" w:type="pct"/>
          </w:tcPr>
          <w:p>
            <w:pPr>
              <w:pStyle w:val="table-level-0"/>
              <w:ind w:leftChars="0" w:left="0" w:right="0"/>
              <w:keepNext/>
            </w:pPr>
            <w:r>
              <w:t>2.000</w:t>
            </w:r>
          </w:p>
        </w:tc>
        <w:tc>
          <w:tcPr>
            <w:cnfStyle w:evenVBand="true" w:oddVBand="false" w:firstColumn="false"/>
            <w:tcW w:w="11.434303%" w:type="pct"/>
          </w:tcPr>
          <w:p>
            <w:pPr>
              <w:pStyle w:val="table-level-0"/>
              <w:ind w:leftChars="0" w:left="0" w:right="0"/>
              <w:keepNext/>
            </w:pPr>
            <w:r>
              <w:t>1.460</w:t>
            </w:r>
          </w:p>
        </w:tc>
        <w:tc>
          <w:tcPr>
            <w:cnfStyle w:evenVBand="false" w:oddVBand="true" w:firstColumn="false"/>
            <w:tcW w:w="11.434303%" w:type="pct"/>
          </w:tcPr>
          <w:p>
            <w:pPr>
              <w:pStyle w:val="table-level-0"/>
              <w:ind w:leftChars="0" w:left="0" w:right="0"/>
              <w:keepNext/>
            </w:pPr>
            <w:r>
              <w:t>1.000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Ricavi delle vendite diversi</w:t>
            </w:r>
          </w:p>
        </w:tc>
        <w:tc>
          <w:tcPr>
            <w:cnfStyle w:evenVBand="true" w:oddVBand="false" w:firstColumn="false"/>
            <w:tcW w:w="11.434303%" w:type="pct"/>
          </w:tcPr>
          <w:p>
            <w:pPr>
              <w:pStyle w:val="table-level-0"/>
              <w:ind w:leftChars="0" w:left="0" w:right="0"/>
              <w:keepNext/>
            </w:pPr>
            <w:r>
              <w:t>1.400</w:t>
            </w:r>
          </w:p>
        </w:tc>
        <w:tc>
          <w:tcPr>
            <w:cnfStyle w:evenVBand="false" w:oddVBand="true" w:firstColumn="false"/>
            <w:tcW w:w="11.434303%" w:type="pct"/>
          </w:tcPr>
          <w:p>
            <w:pPr>
              <w:pStyle w:val="table-level-0"/>
              <w:ind w:leftChars="0" w:left="0" w:right="0"/>
              <w:keepNext/>
            </w:pPr>
            <w:r>
              <w:t>1.000</w:t>
            </w:r>
          </w:p>
        </w:tc>
        <w:tc>
          <w:tcPr>
            <w:cnfStyle w:evenVBand="true" w:oddVBand="false" w:firstColumn="false"/>
            <w:tcW w:w="11.434303%" w:type="pct"/>
          </w:tcPr>
          <w:p>
            <w:pPr>
              <w:pStyle w:val="table-level-0"/>
              <w:ind w:leftChars="0" w:left="0" w:right="0"/>
              <w:keepNext/>
            </w:pPr>
            <w:r>
              <w:t>800</w:t>
            </w:r>
          </w:p>
        </w:tc>
        <w:tc>
          <w:tcPr>
            <w:cnfStyle w:evenVBand="false" w:oddVBand="true" w:firstColumn="false"/>
            <w:tcW w:w="11.434303%" w:type="pct"/>
          </w:tcPr>
          <w:p>
            <w:pPr>
              <w:pStyle w:val="table-level-0"/>
              <w:ind w:leftChars="0" w:left="0" w:right="0"/>
              <w:keepNext/>
            </w:pPr>
            <w:r>
              <w:t>800</w:t>
            </w:r>
          </w:p>
        </w:tc>
        <w:tc>
          <w:tcPr>
            <w:cnfStyle w:evenVBand="true" w:oddVBand="false" w:firstColumn="false"/>
            <w:tcW w:w="11.434303%" w:type="pct"/>
          </w:tcPr>
          <w:p>
            <w:pPr>
              <w:pStyle w:val="table-level-0"/>
              <w:ind w:leftChars="0" w:left="0" w:right="0"/>
              <w:keepNext/>
            </w:pPr>
            <w:r>
              <w:t>640</w:t>
            </w:r>
          </w:p>
        </w:tc>
        <w:tc>
          <w:tcPr>
            <w:cnfStyle w:evenVBand="false" w:oddVBand="true" w:firstColumn="false"/>
            <w:tcW w:w="11.434303%" w:type="pct"/>
          </w:tcPr>
          <w:p>
            <w:pPr>
              <w:pStyle w:val="table-level-0"/>
              <w:ind w:leftChars="0" w:left="0" w:right="0"/>
              <w:keepNext/>
            </w:pPr>
            <w:r>
              <w:t>800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Fitti attivi</w:t>
            </w:r>
          </w:p>
        </w:tc>
        <w:tc>
          <w:tcPr>
            <w:cnfStyle w:evenVBand="true" w:oddVBand="false" w:firstColumn="false"/>
            <w:tcW w:w="11.434303%" w:type="pct"/>
          </w:tcPr>
          <w:p>
            <w:pPr>
              <w:pStyle w:val="table-level-0"/>
              <w:ind w:leftChars="0" w:left="0" w:right="0"/>
              <w:keepNext/>
            </w:pPr>
            <w:r>
              <w:t>460</w:t>
            </w:r>
          </w:p>
        </w:tc>
        <w:tc>
          <w:tcPr>
            <w:cnfStyle w:evenVBand="false" w:oddVBand="true" w:firstColumn="false"/>
            <w:tcW w:w="11.434303%" w:type="pct"/>
          </w:tcPr>
          <w:p>
            <w:pPr>
              <w:pStyle w:val="table-level-0"/>
              <w:ind w:leftChars="0" w:left="0" w:right="0"/>
              <w:keepNext/>
            </w:pPr>
            <w:r>
              <w:t>460</w:t>
            </w:r>
          </w:p>
        </w:tc>
        <w:tc>
          <w:tcPr>
            <w:cnfStyle w:evenVBand="true" w:oddVBand="false" w:firstColumn="false"/>
            <w:tcW w:w="11.434303%" w:type="pct"/>
          </w:tcPr>
          <w:p>
            <w:pPr>
              <w:pStyle w:val="table-level-0"/>
              <w:ind w:leftChars="0" w:left="0" w:right="0"/>
              <w:keepNext/>
            </w:pPr>
            <w:r>
              <w:t>450</w:t>
            </w:r>
          </w:p>
        </w:tc>
        <w:tc>
          <w:tcPr>
            <w:cnfStyle w:evenVBand="false" w:oddVBand="true" w:firstColumn="false"/>
            <w:tcW w:w="11.434303%" w:type="pct"/>
          </w:tcPr>
          <w:p>
            <w:pPr>
              <w:pStyle w:val="table-level-0"/>
              <w:ind w:leftChars="0" w:left="0" w:right="0"/>
              <w:keepNext/>
            </w:pPr>
            <w:r>
              <w:t>250</w:t>
            </w:r>
          </w:p>
        </w:tc>
        <w:tc>
          <w:tcPr>
            <w:cnfStyle w:evenVBand="true" w:oddVBand="false" w:firstColumn="false"/>
            <w:tcW w:w="11.434303%" w:type="pct"/>
          </w:tcPr>
          <w:p>
            <w:pPr>
              <w:pStyle w:val="table-level-0"/>
              <w:ind w:leftChars="0" w:left="0" w:right="0"/>
              <w:keepNext/>
            </w:pPr>
            <w:r>
              <w:t>175</w:t>
            </w:r>
          </w:p>
        </w:tc>
        <w:tc>
          <w:tcPr>
            <w:cnfStyle w:evenVBand="false" w:oddVBand="true" w:firstColumn="false"/>
            <w:tcW w:w="11.434303%" w:type="pct"/>
          </w:tcPr>
          <w:p>
            <w:pPr>
              <w:pStyle w:val="table-level-0"/>
              <w:ind w:leftChars="0" w:left="0" w:right="0"/>
              <w:keepNext/>
            </w:pPr>
            <w:r>
              <w:t>250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Locazioni e noleggi attivi</w:t>
            </w:r>
          </w:p>
        </w:tc>
        <w:tc>
          <w:tcPr>
            <w:cnfStyle w:evenVBand="true" w:oddVBand="false" w:firstColumn="false"/>
            <w:tcW w:w="11.434303%" w:type="pct"/>
          </w:tcPr>
          <w:p>
            <w:pPr>
              <w:pStyle w:val="table-level-0"/>
              <w:ind w:leftChars="0" w:left="0" w:right="0"/>
              <w:keepNext/>
            </w:pPr>
            <w:r>
              <w:t>320</w:t>
            </w:r>
          </w:p>
        </w:tc>
        <w:tc>
          <w:tcPr>
            <w:cnfStyle w:evenVBand="false" w:oddVBand="true" w:firstColumn="false"/>
            <w:tcW w:w="11.434303%" w:type="pct"/>
          </w:tcPr>
          <w:p>
            <w:pPr>
              <w:pStyle w:val="table-level-0"/>
              <w:ind w:leftChars="0" w:left="0" w:right="0"/>
              <w:keepNext/>
            </w:pPr>
            <w:r>
              <w:t>320</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300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300</w:t>
            </w:r>
          </w:p>
        </w:tc>
      </w:tr>
      <w:tr>
        <w:trPr>
          <w:cnfStyle w:evenHBand="false" w:oddHBand="true" w:firstRow="false"/>
          <w:cantSplit/>
        </w:trPr>
        <w:tc>
          <w:tcPr>
            <w:cnfStyle w:evenVBand="false" w:oddVBand="true" w:firstColumn="false"/>
            <w:tcW w:w="31.394183%" w:type="pct"/>
          </w:tcPr>
          <w:p>
            <w:pPr>
              <w:pStyle w:val="index-table-level-100"/>
              <w:ind w:leftChars="0" w:left="0" w:right="0"/>
              <w:keepNext/>
            </w:pPr>
            <w:r>
              <w:t>Rettifiche su ricavi</w:t>
            </w:r>
          </w:p>
        </w:tc>
        <w:tc>
          <w:tcPr>
            <w:cnfStyle w:evenVBand="true" w:oddVBand="false" w:firstColumn="false"/>
            <w:tcW w:w="11.434303%" w:type="pct"/>
          </w:tcPr>
          <w:p>
            <w:pPr>
              <w:pStyle w:val="table-level-100"/>
              <w:ind w:leftChars="0" w:left="0" w:right="0"/>
              <w:keepNext/>
            </w:pPr>
            <w:r>
              <w:t>-30</w:t>
            </w:r>
          </w:p>
        </w:tc>
        <w:tc>
          <w:tcPr>
            <w:cnfStyle w:evenVBand="false" w:oddVBand="true" w:firstColumn="false"/>
            <w:tcW w:w="11.434303%" w:type="pct"/>
          </w:tcPr>
          <w:p>
            <w:pPr>
              <w:pStyle w:val="table-level-100"/>
              <w:ind w:leftChars="0" w:left="0" w:right="0"/>
              <w:keepNext/>
            </w:pPr>
            <w:r>
              <w:t>-27,5</w:t>
            </w:r>
          </w:p>
        </w:tc>
        <w:tc>
          <w:tcPr>
            <w:cnfStyle w:evenVBand="true" w:oddVBand="false" w:firstColumn="false"/>
            <w:tcW w:w="11.434303%" w:type="pct"/>
          </w:tcPr>
          <w:p>
            <w:pPr>
              <w:pStyle w:val="table-level-100"/>
              <w:ind w:leftChars="0" w:left="0" w:right="0"/>
              <w:keepNext/>
            </w:pPr>
            <w:r>
              <w:t>-25</w:t>
            </w:r>
          </w:p>
        </w:tc>
        <w:tc>
          <w:tcPr>
            <w:cnfStyle w:evenVBand="false" w:oddVBand="true" w:firstColumn="false"/>
            <w:tcW w:w="11.434303%" w:type="pct"/>
          </w:tcPr>
          <w:p>
            <w:pPr>
              <w:pStyle w:val="table-level-100"/>
              <w:ind w:leftChars="0" w:left="0" w:right="0"/>
              <w:keepNext/>
            </w:pPr>
            <w:r>
              <w:t>-20</w:t>
            </w:r>
          </w:p>
        </w:tc>
        <w:tc>
          <w:tcPr>
            <w:cnfStyle w:evenVBand="true" w:oddVBand="false" w:firstColumn="false"/>
            <w:tcW w:w="11.434303%" w:type="pct"/>
          </w:tcPr>
          <w:p>
            <w:pPr>
              <w:pStyle w:val="table-level-100"/>
              <w:ind w:leftChars="0" w:left="0" w:right="0"/>
              <w:keepNext/>
            </w:pPr>
            <w:r>
              <w:t>-75</w:t>
            </w:r>
          </w:p>
        </w:tc>
        <w:tc>
          <w:tcPr>
            <w:cnfStyle w:evenVBand="false" w:oddVBand="true" w:firstColumn="false"/>
            <w:tcW w:w="11.434303%" w:type="pct"/>
          </w:tcPr>
          <w:p>
            <w:pPr>
              <w:pStyle w:val="table-level-100"/>
              <w:ind w:leftChars="0" w:left="0" w:right="0"/>
              <w:keepNext/>
            </w:pPr>
            <w:r>
              <w:t>-20</w:t>
            </w:r>
          </w:p>
        </w:tc>
      </w:tr>
    </w:tbl>
    <w:p>
      <w:pPr>
        <w:pStyle w:val="TableBottomMargin"/>
      </w:pPr>
    </w:p>
    <w:p>
      <w:pPr>
        <w:pStyle w:val="BodyText"/>
        <w:ind w:leftChars="0" w:left="0" w:right="0"/>
      </w:pPr>
      <w:r>
        <w:t xml:space="preserve">Dal prospetto si evince che al 31 dicembre 2022 il valore della voce </w:t>
      </w:r>
      <w:r>
        <w:rPr>
          <w:i/>
          <w:iCs/>
        </w:rPr>
        <w:t>Fatturato netto</w:t>
      </w:r>
      <w:r>
        <w:t xml:space="preserve"> è pari a € 6.850.000 ed è in crescita del 10% rispetto al 31 dicembre 2021.</w:t>
      </w:r>
    </w:p>
    <w:p>
      <w:pPr>
        <w:pStyle w:val="BodyText"/>
        <w:ind w:leftChars="0" w:left="0" w:right="0"/>
      </w:pPr>
      <w:r>
        <w:t xml:space="preserve">Il grafico seguente mostra l’analisi dell’andamento della voce </w:t>
      </w:r>
      <w:r>
        <w:rPr>
          <w:i/>
          <w:iCs/>
        </w:rPr>
        <w:t>Fatturato netto</w:t>
      </w:r>
      <w:r>
        <w:t xml:space="preserve"> dal 31 dicembre 2017 al 31 dicembre 2022. Nel periodo evidenziato, il valore medio è stato pari a € 5.216.250.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6" name="4e482270cbdd5e43a6acdf48f955c8d8.png" descr="_static/temp/4e482270cbdd5e43a6acdf48f955c8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4e482270cbdd5e43a6acdf48f955c8d8.png" descr="_static/temp/4e482270cbdd5e43a6acdf48f955c8d8.png"/>
                    <pic:cNvPicPr>
                      <a:picLocks noChangeAspect="1" noChangeArrowheads="1"/>
                    </pic:cNvPicPr>
                  </pic:nvPicPr>
                  <pic:blipFill>
                    <a:blip xmlns:r="http://schemas.openxmlformats.org/officeDocument/2006/relationships" r:embed="rId8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Fatturato netto</w:t>
      </w:r>
      <w:r>
        <w:t xml:space="preserve"> al 31 dicembre 2022, la componente più significativa è rappresentata dalla voce </w:t>
      </w:r>
      <w:r>
        <w:rPr>
          <w:i/>
          <w:iCs/>
        </w:rPr>
        <w:t>Ricavi da prestazione servizi</w:t>
      </w:r>
      <w:r>
        <w:t xml:space="preserve"> con un valore pari a 2.700.000 €. Il grafico seguente visualizza la ripartizione di tutte le componenti della voce </w:t>
      </w:r>
      <w:r>
        <w:rPr>
          <w:i/>
          <w:iCs/>
        </w:rPr>
        <w:t>Fatturato netto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7" name="f8008b6616cbdc9d06ea72424975333d.png" descr="_static/temp/f8008b6616cbdc9d06ea7242497533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f8008b6616cbdc9d06ea72424975333d.png" descr="_static/temp/f8008b6616cbdc9d06ea72424975333d.png"/>
                    <pic:cNvPicPr>
                      <a:picLocks noChangeAspect="1" noChangeArrowheads="1"/>
                    </pic:cNvPicPr>
                  </pic:nvPicPr>
                  <pic:blipFill>
                    <a:blip xmlns:r="http://schemas.openxmlformats.org/officeDocument/2006/relationships" r:embed="rId90"/>
                    <a:srcRect/>
                    <a:stretch>
                      <a:fillRect/>
                    </a:stretch>
                  </pic:blipFill>
                  <pic:spPr bwMode="auto">
                    <a:xfrm>
                      <a:off x="0" y="0"/>
                      <a:ext cx="6476365" cy="3266766"/>
                    </a:xfrm>
                    <a:prstGeom prst="rect">
                      <a:avLst/>
                    </a:prstGeom>
                    <a:noFill/>
                  </pic:spPr>
                </pic:pic>
              </a:graphicData>
            </a:graphic>
          </wp:inline>
        </w:drawing>
      </w:r>
    </w:p>
    <w:bookmarkEnd w:id="550"/>
    <w:bookmarkEnd w:id="551"/>
    <w:bookmarkStart w:id="552" w:name="_1b94648114c0650a5dd7fef2974fe393"/>
    <w:bookmarkStart w:id="553" w:name="_aeb67d7738f685d27bca76561a7012a3"/>
    <w:p>
      <w:pPr>
        <w:pStyle w:val="Heading4"/>
        <w:keepNext/>
      </w:pPr>
      <w:r>
        <w:t>Altri ricavi e proventi</w:t>
      </w:r>
    </w:p>
    <w:p>
      <w:pPr>
        <w:pStyle w:val="BodyText"/>
        <w:ind w:leftChars="0" w:left="0" w:right="0"/>
      </w:pPr>
      <w:r>
        <w:t xml:space="preserve">La presente sottosezione del </w:t>
      </w:r>
      <w:hyperlink w:anchor="_c32ee55f1db7eaf113637e0261ea516c">
        <w:r>
          <w:rPr>
            <w:rStyle w:val="Hyperlink"/>
          </w:rPr>
          <w:t>Valore della produzione</w:t>
        </w:r>
      </w:hyperlink>
      <w:r>
        <w:t xml:space="preserve"> è dedicata agli altri ricavi e proventi. Questi rappresentano ricavi e proventi diversi di natura non finanziaria.</w:t>
      </w:r>
    </w:p>
    <w:p>
      <w:pPr>
        <w:pStyle w:val="BodyText"/>
        <w:ind w:leftChars="0" w:left="0" w:right="0"/>
      </w:pPr>
      <w:r>
        <w:t xml:space="preserve">Il prospetto seguente illustra il dettaglio analitico della voce </w:t>
      </w:r>
      <w:r>
        <w:rPr>
          <w:i/>
          <w:iCs/>
        </w:rPr>
        <w:t>Altri ricavi e proventi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aeb67d7738f685d27bca76561a7012a3">
              <w:r>
                <w:rPr>
                  <w:rStyle w:val="Hyperlink"/>
                </w:rPr>
                <w:t>Altri ricavi e proventi</w:t>
              </w:r>
            </w:hyperlink>
          </w:p>
        </w:tc>
        <w:tc>
          <w:tcPr>
            <w:cnfStyle w:evenVBand="true" w:oddVBand="false" w:firstColumn="false"/>
            <w:tcW w:w="11.434303%" w:type="pct"/>
          </w:tcPr>
          <w:p>
            <w:pPr>
              <w:pStyle w:val="table-level-1"/>
              <w:ind w:leftChars="0" w:left="0" w:right="0"/>
              <w:keepNext/>
            </w:pPr>
            <w:r>
              <w:t>37</w:t>
            </w:r>
          </w:p>
        </w:tc>
        <w:tc>
          <w:tcPr>
            <w:cnfStyle w:evenVBand="false" w:oddVBand="true" w:firstColumn="false"/>
            <w:tcW w:w="11.434303%" w:type="pct"/>
          </w:tcPr>
          <w:p>
            <w:pPr>
              <w:pStyle w:val="table-level-1"/>
              <w:ind w:leftChars="0" w:left="0" w:right="0"/>
              <w:keepNext/>
            </w:pPr>
            <w:r>
              <w:t>26</w:t>
            </w:r>
          </w:p>
        </w:tc>
        <w:tc>
          <w:tcPr>
            <w:cnfStyle w:evenVBand="true" w:oddVBand="false" w:firstColumn="false"/>
            <w:tcW w:w="11.434303%" w:type="pct"/>
          </w:tcPr>
          <w:p>
            <w:pPr>
              <w:pStyle w:val="table-level-1"/>
              <w:ind w:leftChars="0" w:left="0" w:right="0"/>
              <w:keepNext/>
            </w:pPr>
            <w:r>
              <w:t>25,5</w:t>
            </w:r>
          </w:p>
        </w:tc>
        <w:tc>
          <w:tcPr>
            <w:cnfStyle w:evenVBand="false" w:oddVBand="true" w:firstColumn="false"/>
            <w:tcW w:w="11.434303%" w:type="pct"/>
          </w:tcPr>
          <w:p>
            <w:pPr>
              <w:pStyle w:val="table-level-1"/>
              <w:ind w:leftChars="0" w:left="0" w:right="0"/>
              <w:keepNext/>
            </w:pPr>
            <w:r>
              <w:t>21,5</w:t>
            </w:r>
          </w:p>
        </w:tc>
        <w:tc>
          <w:tcPr>
            <w:cnfStyle w:evenVBand="true" w:oddVBand="false" w:firstColumn="false"/>
            <w:tcW w:w="11.434303%" w:type="pct"/>
          </w:tcPr>
          <w:p>
            <w:pPr>
              <w:pStyle w:val="table-level-1"/>
              <w:ind w:leftChars="0" w:left="0" w:right="0"/>
              <w:keepNext/>
            </w:pPr>
            <w:r>
              <w:t>109</w:t>
            </w:r>
          </w:p>
        </w:tc>
        <w:tc>
          <w:tcPr>
            <w:cnfStyle w:evenVBand="false" w:oddVBand="true" w:firstColumn="false"/>
            <w:tcW w:w="11.434303%" w:type="pct"/>
          </w:tcPr>
          <w:p>
            <w:pPr>
              <w:pStyle w:val="table-level-1"/>
              <w:ind w:leftChars="0" w:left="0" w:right="0"/>
              <w:keepNext/>
            </w:pPr>
            <w:r>
              <w:t>21,5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ricavi</w:t>
            </w:r>
          </w:p>
        </w:tc>
        <w:tc>
          <w:tcPr>
            <w:cnfStyle w:evenVBand="true" w:oddVBand="false" w:firstColumn="false"/>
            <w:tcW w:w="11.434303%" w:type="pct"/>
          </w:tcPr>
          <w:p>
            <w:pPr>
              <w:pStyle w:val="table-level-0"/>
              <w:ind w:leftChars="0" w:left="0" w:right="0"/>
              <w:keepNext/>
            </w:pPr>
            <w:r>
              <w:t>18</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10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Sopravvenienze attive</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Contributi in conto esercizio</w:t>
            </w:r>
          </w:p>
        </w:tc>
        <w:tc>
          <w:tcPr>
            <w:cnfStyle w:evenVBand="true" w:oddVBand="false" w:firstColumn="false"/>
            <w:tcW w:w="11.434303%" w:type="pct"/>
          </w:tcPr>
          <w:p>
            <w:pPr>
              <w:pStyle w:val="table-level-0"/>
              <w:ind w:leftChars="0" w:left="0" w:right="0"/>
              <w:keepNext/>
            </w:pPr>
            <w:r>
              <w:t>12</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7,5</w:t>
            </w:r>
          </w:p>
        </w:tc>
      </w:tr>
    </w:tbl>
    <w:p>
      <w:pPr>
        <w:pStyle w:val="TableBottomMargin"/>
      </w:pPr>
    </w:p>
    <w:p>
      <w:pPr>
        <w:pStyle w:val="BodyText"/>
        <w:ind w:leftChars="0" w:left="0" w:right="0"/>
      </w:pPr>
      <w:r>
        <w:t xml:space="preserve">Dal prospetto si evince che al 31 dicembre 2022 il valore della voce </w:t>
      </w:r>
      <w:r>
        <w:rPr>
          <w:i/>
          <w:iCs/>
        </w:rPr>
        <w:t>Altri ricavi e proventi</w:t>
      </w:r>
      <w:r>
        <w:t xml:space="preserve"> è pari a € 37.000 ed è in crescita del 42% rispetto al 31 dicembre 2021.</w:t>
      </w:r>
    </w:p>
    <w:p>
      <w:pPr>
        <w:pStyle w:val="BodyText"/>
        <w:ind w:leftChars="0" w:left="0" w:right="0"/>
      </w:pPr>
      <w:r>
        <w:t xml:space="preserve">Il grafico seguente mostra l’analisi dell’andamento della voce </w:t>
      </w:r>
      <w:r>
        <w:rPr>
          <w:i/>
          <w:iCs/>
        </w:rPr>
        <w:t>Altri ricavi e proventi</w:t>
      </w:r>
      <w:r>
        <w:t xml:space="preserve"> dal 31 dicembre 2017 al 31 dicembre 2022. Nel periodo evidenziato, il valore medio è stato pari a € 40.083.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8" name="93e4fa30978e183a31f7c5efa011367d.png" descr="_static/temp/93e4fa30978e183a31f7c5efa01136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3e4fa30978e183a31f7c5efa011367d.png" descr="_static/temp/93e4fa30978e183a31f7c5efa011367d.png"/>
                    <pic:cNvPicPr>
                      <a:picLocks noChangeAspect="1" noChangeArrowheads="1"/>
                    </pic:cNvPicPr>
                  </pic:nvPicPr>
                  <pic:blipFill>
                    <a:blip xmlns:r="http://schemas.openxmlformats.org/officeDocument/2006/relationships" r:embed="rId9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Altri ricavi e proventi</w:t>
      </w:r>
      <w:r>
        <w:t xml:space="preserve"> al 31 dicembre 2022, la componente più significativa è rappresentata dalla voce </w:t>
      </w:r>
      <w:r>
        <w:rPr>
          <w:i/>
          <w:iCs/>
        </w:rPr>
        <w:t>Altri ricavi</w:t>
      </w:r>
      <w:r>
        <w:t xml:space="preserve"> con un valore pari a 18.000 €. Il grafico seguente visualizza la ripartizione di tutte le componenti della voce </w:t>
      </w:r>
      <w:r>
        <w:rPr>
          <w:i/>
          <w:iCs/>
        </w:rPr>
        <w:t>Altri ricavi e proventi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69" name="d57931aa1ae0e703f8c4c1d18ba84f42.png" descr="_static/temp/d57931aa1ae0e703f8c4c1d18ba84f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57931aa1ae0e703f8c4c1d18ba84f42.png" descr="_static/temp/d57931aa1ae0e703f8c4c1d18ba84f42.png"/>
                    <pic:cNvPicPr>
                      <a:picLocks noChangeAspect="1" noChangeArrowheads="1"/>
                    </pic:cNvPicPr>
                  </pic:nvPicPr>
                  <pic:blipFill>
                    <a:blip xmlns:r="http://schemas.openxmlformats.org/officeDocument/2006/relationships" r:embed="rId92"/>
                    <a:srcRect/>
                    <a:stretch>
                      <a:fillRect/>
                    </a:stretch>
                  </pic:blipFill>
                  <pic:spPr bwMode="auto">
                    <a:xfrm>
                      <a:off x="0" y="0"/>
                      <a:ext cx="6476365" cy="3266766"/>
                    </a:xfrm>
                    <a:prstGeom prst="rect">
                      <a:avLst/>
                    </a:prstGeom>
                    <a:noFill/>
                  </pic:spPr>
                </pic:pic>
              </a:graphicData>
            </a:graphic>
          </wp:inline>
        </w:drawing>
      </w:r>
    </w:p>
    <w:bookmarkEnd w:id="552"/>
    <w:bookmarkEnd w:id="553"/>
    <w:bookmarkEnd w:id="548"/>
    <w:bookmarkEnd w:id="549"/>
    <w:bookmarkStart w:id="554" w:name="_f5ab18ec297d9d4529d3ed7bb07d7614"/>
    <w:bookmarkStart w:id="555" w:name="_76284af3e1ef73375f80178ffe0aa6e6"/>
    <w:p>
      <w:pPr>
        <w:pStyle w:val="Heading3"/>
        <w:keepNext/>
      </w:pPr>
      <w:r>
        <w:t>Costi operativi</w:t>
      </w:r>
    </w:p>
    <w:p>
      <w:pPr>
        <w:pStyle w:val="BodyText"/>
        <w:ind w:leftChars="0" w:left="0" w:right="0"/>
      </w:pPr>
      <w:r>
        <w:t xml:space="preserve">La presente sottosezione della </w:t>
      </w:r>
      <w:hyperlink w:anchor="_35393d0452d9eb2940c4cb6a28a38f1a">
        <w:r>
          <w:rPr>
            <w:rStyle w:val="Hyperlink"/>
          </w:rPr>
          <w:t>Gestione operativa</w:t>
        </w:r>
      </w:hyperlink>
      <w:r>
        <w:t xml:space="preserve"> è dedicata ai costi operativi. Questi rappresentano spese dell’area operativa di diversa natura, quali: costi esterni (costi per acquisire fattori produttivi e servizi), costi interni (costi per il personale) e costi non monetari (ammortamenti, accantonamenti ecc.).</w:t>
      </w:r>
    </w:p>
    <w:p>
      <w:pPr>
        <w:pStyle w:val="BodyText"/>
        <w:ind w:leftChars="0" w:left="0" w:right="0"/>
      </w:pPr>
      <w:r>
        <w:t xml:space="preserve">Il prospetto seguente illustra il dettaglio analitico della voce </w:t>
      </w:r>
      <w:r>
        <w:rPr>
          <w:i/>
          <w:iCs/>
        </w:rPr>
        <w:t>Costi operativi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6284af3e1ef73375f80178ffe0aa6e6">
              <w:r>
                <w:rPr>
                  <w:rStyle w:val="Hyperlink"/>
                </w:rPr>
                <w:t>Costi operativi</w:t>
              </w:r>
            </w:hyperlink>
          </w:p>
        </w:tc>
        <w:tc>
          <w:tcPr>
            <w:cnfStyle w:evenVBand="true" w:oddVBand="false" w:firstColumn="false"/>
            <w:tcW w:w="11.434303%" w:type="pct"/>
          </w:tcPr>
          <w:p>
            <w:pPr>
              <w:pStyle w:val="table-level-1"/>
              <w:ind w:leftChars="0" w:left="0" w:right="0"/>
              <w:keepNext/>
            </w:pPr>
            <w:r>
              <w:t>5.330</w:t>
            </w:r>
          </w:p>
        </w:tc>
        <w:tc>
          <w:tcPr>
            <w:cnfStyle w:evenVBand="false" w:oddVBand="true" w:firstColumn="false"/>
            <w:tcW w:w="11.434303%" w:type="pct"/>
          </w:tcPr>
          <w:p>
            <w:pPr>
              <w:pStyle w:val="table-level-1"/>
              <w:ind w:leftChars="0" w:left="0" w:right="0"/>
              <w:keepNext/>
            </w:pPr>
            <w:r>
              <w:t>4.552</w:t>
            </w:r>
          </w:p>
        </w:tc>
        <w:tc>
          <w:tcPr>
            <w:cnfStyle w:evenVBand="true" w:oddVBand="false" w:firstColumn="false"/>
            <w:tcW w:w="11.434303%" w:type="pct"/>
          </w:tcPr>
          <w:p>
            <w:pPr>
              <w:pStyle w:val="table-level-1"/>
              <w:ind w:leftChars="0" w:left="0" w:right="0"/>
              <w:keepNext/>
            </w:pPr>
            <w:r>
              <w:t>3.762</w:t>
            </w:r>
          </w:p>
        </w:tc>
        <w:tc>
          <w:tcPr>
            <w:cnfStyle w:evenVBand="false" w:oddVBand="true" w:firstColumn="false"/>
            <w:tcW w:w="11.434303%" w:type="pct"/>
          </w:tcPr>
          <w:p>
            <w:pPr>
              <w:pStyle w:val="table-level-1"/>
              <w:ind w:leftChars="0" w:left="0" w:right="0"/>
              <w:keepNext/>
            </w:pPr>
            <w:r>
              <w:t>3.498</w:t>
            </w:r>
          </w:p>
        </w:tc>
        <w:tc>
          <w:tcPr>
            <w:cnfStyle w:evenVBand="true" w:oddVBand="false" w:firstColumn="false"/>
            <w:tcW w:w="11.434303%" w:type="pct"/>
          </w:tcPr>
          <w:p>
            <w:pPr>
              <w:pStyle w:val="table-level-1"/>
              <w:ind w:leftChars="0" w:left="0" w:right="0"/>
              <w:keepNext/>
            </w:pPr>
            <w:r>
              <w:t>3.073</w:t>
            </w:r>
          </w:p>
        </w:tc>
        <w:tc>
          <w:tcPr>
            <w:cnfStyle w:evenVBand="false" w:oddVBand="true" w:firstColumn="false"/>
            <w:tcW w:w="11.434303%" w:type="pct"/>
          </w:tcPr>
          <w:p>
            <w:pPr>
              <w:pStyle w:val="table-level-1"/>
              <w:ind w:leftChars="0" w:left="0" w:right="0"/>
              <w:keepNext/>
            </w:pPr>
            <w:r>
              <w:t>2.886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6058206260392dd230652bc4d1331d06">
              <w:r>
                <w:rPr>
                  <w:rStyle w:val="Hyperlink"/>
                </w:rPr>
                <w:t>Materie prime e merci</w:t>
              </w:r>
            </w:hyperlink>
          </w:p>
        </w:tc>
        <w:tc>
          <w:tcPr>
            <w:cnfStyle w:evenVBand="true" w:oddVBand="false" w:firstColumn="false"/>
            <w:tcW w:w="11.434303%" w:type="pct"/>
          </w:tcPr>
          <w:p>
            <w:pPr>
              <w:pStyle w:val="table-level-0"/>
              <w:ind w:leftChars="0" w:left="0" w:right="0"/>
              <w:keepNext/>
            </w:pPr>
            <w:r>
              <w:t>1.100</w:t>
            </w:r>
          </w:p>
        </w:tc>
        <w:tc>
          <w:tcPr>
            <w:cnfStyle w:evenVBand="false" w:oddVBand="true" w:firstColumn="false"/>
            <w:tcW w:w="11.434303%" w:type="pct"/>
          </w:tcPr>
          <w:p>
            <w:pPr>
              <w:pStyle w:val="table-level-0"/>
              <w:ind w:leftChars="0" w:left="0" w:right="0"/>
              <w:keepNext/>
            </w:pPr>
            <w:r>
              <w:t>830</w:t>
            </w:r>
          </w:p>
        </w:tc>
        <w:tc>
          <w:tcPr>
            <w:cnfStyle w:evenVBand="true" w:oddVBand="false" w:firstColumn="false"/>
            <w:tcW w:w="11.434303%" w:type="pct"/>
          </w:tcPr>
          <w:p>
            <w:pPr>
              <w:pStyle w:val="table-level-0"/>
              <w:ind w:leftChars="0" w:left="0" w:right="0"/>
              <w:keepNext/>
            </w:pPr>
            <w:r>
              <w:t>645</w:t>
            </w:r>
          </w:p>
        </w:tc>
        <w:tc>
          <w:tcPr>
            <w:cnfStyle w:evenVBand="false" w:oddVBand="true" w:firstColumn="false"/>
            <w:tcW w:w="11.434303%" w:type="pct"/>
          </w:tcPr>
          <w:p>
            <w:pPr>
              <w:pStyle w:val="table-level-0"/>
              <w:ind w:leftChars="0" w:left="0" w:right="0"/>
              <w:keepNext/>
            </w:pPr>
            <w:r>
              <w:t>570</w:t>
            </w:r>
          </w:p>
        </w:tc>
        <w:tc>
          <w:tcPr>
            <w:cnfStyle w:evenVBand="true" w:oddVBand="false" w:firstColumn="false"/>
            <w:tcW w:w="11.434303%" w:type="pct"/>
          </w:tcPr>
          <w:p>
            <w:pPr>
              <w:pStyle w:val="table-level-0"/>
              <w:ind w:leftChars="0" w:left="0" w:right="0"/>
              <w:keepNext/>
            </w:pPr>
            <w:r>
              <w:t>547,5</w:t>
            </w:r>
          </w:p>
        </w:tc>
        <w:tc>
          <w:tcPr>
            <w:cnfStyle w:evenVBand="false" w:oddVBand="true" w:firstColumn="false"/>
            <w:tcW w:w="11.434303%" w:type="pct"/>
          </w:tcPr>
          <w:p>
            <w:pPr>
              <w:pStyle w:val="table-level-0"/>
              <w:ind w:leftChars="0" w:left="0" w:right="0"/>
              <w:keepNext/>
            </w:pPr>
            <w:r>
              <w:t>494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Variazione rimanenze acquisti</w:t>
            </w:r>
          </w:p>
        </w:tc>
        <w:tc>
          <w:tcPr>
            <w:cnfStyle w:evenVBand="true" w:oddVBand="false" w:firstColumn="false"/>
            <w:tcW w:w="11.434303%" w:type="pct"/>
          </w:tcPr>
          <w:p>
            <w:pPr>
              <w:pStyle w:val="table-level-0"/>
              <w:ind w:leftChars="0" w:left="0" w:right="0"/>
              <w:keepNext/>
            </w:pPr>
            <w:r>
              <w:t>-11,9</w:t>
            </w:r>
          </w:p>
        </w:tc>
        <w:tc>
          <w:tcPr>
            <w:cnfStyle w:evenVBand="false" w:oddVBand="true" w:firstColumn="false"/>
            <w:tcW w:w="11.434303%" w:type="pct"/>
          </w:tcPr>
          <w:p>
            <w:pPr>
              <w:pStyle w:val="table-level-0"/>
              <w:ind w:leftChars="0" w:left="0" w:right="0"/>
              <w:keepNext/>
            </w:pPr>
            <w:r>
              <w:t>-8,9</w:t>
            </w:r>
          </w:p>
        </w:tc>
        <w:tc>
          <w:tcPr>
            <w:cnfStyle w:evenVBand="true" w:oddVBand="false" w:firstColumn="false"/>
            <w:tcW w:w="11.434303%" w:type="pct"/>
          </w:tcPr>
          <w:p>
            <w:pPr>
              <w:pStyle w:val="table-level-0"/>
              <w:ind w:leftChars="0" w:left="0" w:right="0"/>
              <w:keepNext/>
            </w:pPr>
            <w:r>
              <w:t>-6,55</w:t>
            </w:r>
          </w:p>
        </w:tc>
        <w:tc>
          <w:tcPr>
            <w:cnfStyle w:evenVBand="false" w:oddVBand="true" w:firstColumn="false"/>
            <w:tcW w:w="11.434303%" w:type="pct"/>
          </w:tcPr>
          <w:p>
            <w:pPr>
              <w:pStyle w:val="table-level-0"/>
              <w:ind w:leftChars="0" w:left="0" w:right="0"/>
              <w:keepNext/>
            </w:pPr>
            <w:r>
              <w:t>-1,95</w:t>
            </w:r>
          </w:p>
        </w:tc>
        <w:tc>
          <w:tcPr>
            <w:cnfStyle w:evenVBand="true" w:oddVBand="false" w:firstColumn="false"/>
            <w:tcW w:w="11.434303%" w:type="pct"/>
          </w:tcPr>
          <w:p>
            <w:pPr>
              <w:pStyle w:val="table-level-0"/>
              <w:ind w:leftChars="0" w:left="0" w:right="0"/>
              <w:keepNext/>
            </w:pPr>
            <w:r>
              <w:t>-1,95</w:t>
            </w:r>
          </w:p>
        </w:tc>
        <w:tc>
          <w:tcPr>
            <w:cnfStyle w:evenVBand="false" w:oddVBand="true" w:firstColumn="false"/>
            <w:tcW w:w="11.434303%" w:type="pct"/>
          </w:tcPr>
          <w:p>
            <w:pPr>
              <w:pStyle w:val="table-level-0"/>
              <w:ind w:leftChars="0" w:left="0" w:right="0"/>
              <w:keepNext/>
            </w:pPr>
            <w:r>
              <w:t>-1,95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9489c45190dd5bde181e95ef2f9d7f7d">
              <w:r>
                <w:rPr>
                  <w:rStyle w:val="Hyperlink"/>
                </w:rPr>
                <w:t>Servizi</w:t>
              </w:r>
            </w:hyperlink>
          </w:p>
        </w:tc>
        <w:tc>
          <w:tcPr>
            <w:cnfStyle w:evenVBand="true" w:oddVBand="false" w:firstColumn="false"/>
            <w:tcW w:w="11.434303%" w:type="pct"/>
          </w:tcPr>
          <w:p>
            <w:pPr>
              <w:pStyle w:val="table-level-0"/>
              <w:ind w:leftChars="0" w:left="0" w:right="0"/>
              <w:keepNext/>
            </w:pPr>
            <w:r>
              <w:t>2.995</w:t>
            </w:r>
          </w:p>
        </w:tc>
        <w:tc>
          <w:tcPr>
            <w:cnfStyle w:evenVBand="false" w:oddVBand="true" w:firstColumn="false"/>
            <w:tcW w:w="11.434303%" w:type="pct"/>
          </w:tcPr>
          <w:p>
            <w:pPr>
              <w:pStyle w:val="table-level-0"/>
              <w:ind w:leftChars="0" w:left="0" w:right="0"/>
              <w:keepNext/>
            </w:pPr>
            <w:r>
              <w:t>2.560</w:t>
            </w:r>
          </w:p>
        </w:tc>
        <w:tc>
          <w:tcPr>
            <w:cnfStyle w:evenVBand="true" w:oddVBand="false" w:firstColumn="false"/>
            <w:tcW w:w="11.434303%" w:type="pct"/>
          </w:tcPr>
          <w:p>
            <w:pPr>
              <w:pStyle w:val="table-level-0"/>
              <w:ind w:leftChars="0" w:left="0" w:right="0"/>
              <w:keepNext/>
            </w:pPr>
            <w:r>
              <w:t>2.080</w:t>
            </w:r>
          </w:p>
        </w:tc>
        <w:tc>
          <w:tcPr>
            <w:cnfStyle w:evenVBand="false" w:oddVBand="true" w:firstColumn="false"/>
            <w:tcW w:w="11.434303%" w:type="pct"/>
          </w:tcPr>
          <w:p>
            <w:pPr>
              <w:pStyle w:val="table-level-0"/>
              <w:ind w:leftChars="0" w:left="0" w:right="0"/>
              <w:keepNext/>
            </w:pPr>
            <w:r>
              <w:t>1.950</w:t>
            </w:r>
          </w:p>
        </w:tc>
        <w:tc>
          <w:tcPr>
            <w:cnfStyle w:evenVBand="true" w:oddVBand="false" w:firstColumn="false"/>
            <w:tcW w:w="11.434303%" w:type="pct"/>
          </w:tcPr>
          <w:p>
            <w:pPr>
              <w:pStyle w:val="table-level-0"/>
              <w:ind w:leftChars="0" w:left="0" w:right="0"/>
              <w:keepNext/>
            </w:pPr>
            <w:r>
              <w:t>1.625</w:t>
            </w:r>
          </w:p>
        </w:tc>
        <w:tc>
          <w:tcPr>
            <w:cnfStyle w:evenVBand="false" w:oddVBand="true" w:firstColumn="false"/>
            <w:tcW w:w="11.434303%" w:type="pct"/>
          </w:tcPr>
          <w:p>
            <w:pPr>
              <w:pStyle w:val="table-level-0"/>
              <w:ind w:leftChars="0" w:left="0" w:right="0"/>
              <w:keepNext/>
            </w:pPr>
            <w:r>
              <w:t>1.442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11da469f45d1ca9bbf8f211887729a4">
              <w:r>
                <w:rPr>
                  <w:rStyle w:val="Hyperlink"/>
                </w:rPr>
                <w:t>Godimento di beni di terzi</w:t>
              </w:r>
            </w:hyperlink>
          </w:p>
        </w:tc>
        <w:tc>
          <w:tcPr>
            <w:cnfStyle w:evenVBand="true" w:oddVBand="false" w:firstColumn="false"/>
            <w:tcW w:w="11.434303%" w:type="pct"/>
          </w:tcPr>
          <w:p>
            <w:pPr>
              <w:pStyle w:val="table-level-0"/>
              <w:ind w:leftChars="0" w:left="0" w:right="0"/>
              <w:keepNext/>
            </w:pPr>
            <w:r>
              <w:t>126</w:t>
            </w:r>
          </w:p>
        </w:tc>
        <w:tc>
          <w:tcPr>
            <w:cnfStyle w:evenVBand="false" w:oddVBand="true" w:firstColumn="false"/>
            <w:tcW w:w="11.434303%" w:type="pct"/>
          </w:tcPr>
          <w:p>
            <w:pPr>
              <w:pStyle w:val="table-level-0"/>
              <w:ind w:leftChars="0" w:left="0" w:right="0"/>
              <w:keepNext/>
            </w:pPr>
            <w:r>
              <w:t>112</w:t>
            </w:r>
          </w:p>
        </w:tc>
        <w:tc>
          <w:tcPr>
            <w:cnfStyle w:evenVBand="true" w:oddVBand="false" w:firstColumn="false"/>
            <w:tcW w:w="11.434303%" w:type="pct"/>
          </w:tcPr>
          <w:p>
            <w:pPr>
              <w:pStyle w:val="table-level-0"/>
              <w:ind w:leftChars="0" w:left="0" w:right="0"/>
              <w:keepNext/>
            </w:pPr>
            <w:r>
              <w:t>102,5</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77,5</w:t>
            </w:r>
          </w:p>
        </w:tc>
        <w:tc>
          <w:tcPr>
            <w:cnfStyle w:evenVBand="false" w:oddVBand="true" w:firstColumn="false"/>
            <w:tcW w:w="11.434303%" w:type="pct"/>
          </w:tcPr>
          <w:p>
            <w:pPr>
              <w:pStyle w:val="table-level-0"/>
              <w:ind w:leftChars="0" w:left="0" w:right="0"/>
              <w:keepNext/>
            </w:pPr>
            <w:r>
              <w:t>185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31e1edc15acaabb6eb7bdcad23dfaca">
              <w:r>
                <w:rPr>
                  <w:rStyle w:val="Hyperlink"/>
                </w:rPr>
                <w:t>Personale</w:t>
              </w:r>
            </w:hyperlink>
          </w:p>
        </w:tc>
        <w:tc>
          <w:tcPr>
            <w:cnfStyle w:evenVBand="true" w:oddVBand="false" w:firstColumn="false"/>
            <w:tcW w:w="11.434303%" w:type="pct"/>
          </w:tcPr>
          <w:p>
            <w:pPr>
              <w:pStyle w:val="table-level-0"/>
              <w:ind w:leftChars="0" w:left="0" w:right="0"/>
              <w:keepNext/>
            </w:pPr>
            <w:r>
              <w:t>983</w:t>
            </w:r>
          </w:p>
        </w:tc>
        <w:tc>
          <w:tcPr>
            <w:cnfStyle w:evenVBand="false" w:oddVBand="true" w:firstColumn="false"/>
            <w:tcW w:w="11.434303%" w:type="pct"/>
          </w:tcPr>
          <w:p>
            <w:pPr>
              <w:pStyle w:val="table-level-0"/>
              <w:ind w:leftChars="0" w:left="0" w:right="0"/>
              <w:keepNext/>
            </w:pPr>
            <w:r>
              <w:t>929</w:t>
            </w:r>
          </w:p>
        </w:tc>
        <w:tc>
          <w:tcPr>
            <w:cnfStyle w:evenVBand="true" w:oddVBand="false" w:firstColumn="false"/>
            <w:tcW w:w="11.434303%" w:type="pct"/>
          </w:tcPr>
          <w:p>
            <w:pPr>
              <w:pStyle w:val="table-level-0"/>
              <w:ind w:leftChars="0" w:left="0" w:right="0"/>
              <w:keepNext/>
            </w:pPr>
            <w:r>
              <w:t>810</w:t>
            </w:r>
          </w:p>
        </w:tc>
        <w:tc>
          <w:tcPr>
            <w:cnfStyle w:evenVBand="false" w:oddVBand="true" w:firstColumn="false"/>
            <w:tcW w:w="11.434303%" w:type="pct"/>
          </w:tcPr>
          <w:p>
            <w:pPr>
              <w:pStyle w:val="table-level-0"/>
              <w:ind w:leftChars="0" w:left="0" w:right="0"/>
              <w:keepNext/>
            </w:pPr>
            <w:r>
              <w:t>760</w:t>
            </w:r>
          </w:p>
        </w:tc>
        <w:tc>
          <w:tcPr>
            <w:cnfStyle w:evenVBand="true" w:oddVBand="false" w:firstColumn="false"/>
            <w:tcW w:w="11.434303%" w:type="pct"/>
          </w:tcPr>
          <w:p>
            <w:pPr>
              <w:pStyle w:val="table-level-0"/>
              <w:ind w:leftChars="0" w:left="0" w:right="0"/>
              <w:keepNext/>
            </w:pPr>
            <w:r>
              <w:t>720</w:t>
            </w:r>
          </w:p>
        </w:tc>
        <w:tc>
          <w:tcPr>
            <w:cnfStyle w:evenVBand="false" w:oddVBand="true" w:firstColumn="false"/>
            <w:tcW w:w="11.434303%" w:type="pct"/>
          </w:tcPr>
          <w:p>
            <w:pPr>
              <w:pStyle w:val="table-level-0"/>
              <w:ind w:leftChars="0" w:left="0" w:right="0"/>
              <w:keepNext/>
            </w:pPr>
            <w:r>
              <w:t>690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fb9d00da0cb0252a2b01f666265ace05">
              <w:r>
                <w:rPr>
                  <w:rStyle w:val="Hyperlink"/>
                </w:rPr>
                <w:t>Accantonamenti rischi e oneri</w:t>
              </w:r>
            </w:hyperlink>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27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30f83851ac160a36e5cd8a71827c28d6">
              <w:r>
                <w:rPr>
                  <w:rStyle w:val="Hyperlink"/>
                </w:rPr>
                <w:t>Oneri di gestione</w:t>
              </w:r>
            </w:hyperlink>
          </w:p>
        </w:tc>
        <w:tc>
          <w:tcPr>
            <w:cnfStyle w:evenVBand="true" w:oddVBand="false" w:firstColumn="false"/>
            <w:tcW w:w="11.434303%" w:type="pct"/>
          </w:tcPr>
          <w:p>
            <w:pPr>
              <w:pStyle w:val="table-level-0"/>
              <w:ind w:leftChars="0" w:left="0" w:right="0"/>
              <w:keepNext/>
            </w:pPr>
            <w:r>
              <w:t>118</w:t>
            </w:r>
          </w:p>
        </w:tc>
        <w:tc>
          <w:tcPr>
            <w:cnfStyle w:evenVBand="false" w:oddVBand="true" w:firstColumn="false"/>
            <w:tcW w:w="11.434303%" w:type="pct"/>
          </w:tcPr>
          <w:p>
            <w:pPr>
              <w:pStyle w:val="table-level-0"/>
              <w:ind w:leftChars="0" w:left="0" w:right="0"/>
              <w:keepNext/>
            </w:pPr>
            <w:r>
              <w:t>115</w:t>
            </w:r>
          </w:p>
        </w:tc>
        <w:tc>
          <w:tcPr>
            <w:cnfStyle w:evenVBand="true" w:oddVBand="false" w:firstColumn="false"/>
            <w:tcW w:w="11.434303%" w:type="pct"/>
          </w:tcPr>
          <w:p>
            <w:pPr>
              <w:pStyle w:val="table-level-0"/>
              <w:ind w:leftChars="0" w:left="0" w:right="0"/>
              <w:keepNext/>
            </w:pPr>
            <w:r>
              <w:t>106</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50</w:t>
            </w:r>
          </w:p>
        </w:tc>
      </w:tr>
    </w:tbl>
    <w:p>
      <w:pPr>
        <w:pStyle w:val="TableBottomMargin"/>
      </w:pPr>
    </w:p>
    <w:p>
      <w:pPr>
        <w:pStyle w:val="BodyText"/>
        <w:ind w:leftChars="0" w:left="0" w:right="0"/>
      </w:pPr>
      <w:r>
        <w:t xml:space="preserve">Dal prospetto si evince che al 31 dicembre 2022 il valore della voce </w:t>
      </w:r>
      <w:r>
        <w:rPr>
          <w:i/>
          <w:iCs/>
        </w:rPr>
        <w:t>Costi operativi</w:t>
      </w:r>
      <w:r>
        <w:t xml:space="preserve"> è pari a € 5.330.080 ed è in crescita del 17% rispetto al 31 dicembre 2021.</w:t>
      </w:r>
    </w:p>
    <w:p>
      <w:pPr>
        <w:pStyle w:val="BodyText"/>
        <w:ind w:leftChars="0" w:left="0" w:right="0"/>
      </w:pPr>
      <w:r>
        <w:t xml:space="preserve">Il grafico seguente mostra l’analisi dell’andamento della voce </w:t>
      </w:r>
      <w:r>
        <w:rPr>
          <w:i/>
          <w:iCs/>
        </w:rPr>
        <w:t>Costi operativi</w:t>
      </w:r>
      <w:r>
        <w:t xml:space="preserve"> dal 31 dicembre 2017 al 31 dicembre 2022. Nel periodo evidenziato, il valore medio è stato pari a € 3.850.213.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0" name="833d4a5c08f4e04fdd1ef0bdf388fbc1.png" descr="_static/temp/833d4a5c08f4e04fdd1ef0bdf388f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833d4a5c08f4e04fdd1ef0bdf388fbc1.png" descr="_static/temp/833d4a5c08f4e04fdd1ef0bdf388fbc1.png"/>
                    <pic:cNvPicPr>
                      <a:picLocks noChangeAspect="1" noChangeArrowheads="1"/>
                    </pic:cNvPicPr>
                  </pic:nvPicPr>
                  <pic:blipFill>
                    <a:blip xmlns:r="http://schemas.openxmlformats.org/officeDocument/2006/relationships" r:embed="rId9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Costi operativi</w:t>
      </w:r>
      <w:r>
        <w:t xml:space="preserve"> al 31 dicembre 2022, la componente più significativa è rappresentata dalla voce </w:t>
      </w:r>
      <w:r>
        <w:rPr>
          <w:i/>
          <w:iCs/>
        </w:rPr>
        <w:t>Servizi</w:t>
      </w:r>
      <w:r>
        <w:t xml:space="preserve"> con un valore pari a 2.995.000 €. Il grafico seguente visualizza la ripartizione di tutte le componenti della voce </w:t>
      </w:r>
      <w:r>
        <w:rPr>
          <w:i/>
          <w:iCs/>
        </w:rPr>
        <w:t>Costi operativi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1" name="654cd97f5112ad06620ded2ec6bfb882.png" descr="_static/temp/654cd97f5112ad06620ded2ec6bfb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54cd97f5112ad06620ded2ec6bfb882.png" descr="_static/temp/654cd97f5112ad06620ded2ec6bfb882.png"/>
                    <pic:cNvPicPr>
                      <a:picLocks noChangeAspect="1" noChangeArrowheads="1"/>
                    </pic:cNvPicPr>
                  </pic:nvPicPr>
                  <pic:blipFill>
                    <a:blip xmlns:r="http://schemas.openxmlformats.org/officeDocument/2006/relationships" r:embed="rId94"/>
                    <a:srcRect/>
                    <a:stretch>
                      <a:fillRect/>
                    </a:stretch>
                  </pic:blipFill>
                  <pic:spPr bwMode="auto">
                    <a:xfrm>
                      <a:off x="0" y="0"/>
                      <a:ext cx="6476365" cy="3266766"/>
                    </a:xfrm>
                    <a:prstGeom prst="rect">
                      <a:avLst/>
                    </a:prstGeom>
                    <a:noFill/>
                  </pic:spPr>
                </pic:pic>
              </a:graphicData>
            </a:graphic>
          </wp:inline>
        </w:drawing>
      </w:r>
    </w:p>
    <w:bookmarkStart w:id="556" w:name="_b1cb22c36cf7f6c2607b75d64390bdd1"/>
    <w:bookmarkStart w:id="557" w:name="_6058206260392dd230652bc4d1331d06"/>
    <w:p>
      <w:pPr>
        <w:pStyle w:val="Heading4"/>
        <w:keepNext/>
      </w:pPr>
      <w:r>
        <w:t>Materie prime e merci</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ai costi per materie prime e merci. Questi rappresentano costi derivanti dall’acquisto di materie prime, sussidiarie, di consumo e di merci.</w:t>
      </w:r>
    </w:p>
    <w:p>
      <w:pPr>
        <w:pStyle w:val="BodyText"/>
        <w:ind w:leftChars="0" w:left="0" w:right="0"/>
      </w:pPr>
      <w:r>
        <w:t xml:space="preserve">Il prospetto seguente illustra il dettaglio analitico della voce </w:t>
      </w:r>
      <w:r>
        <w:rPr>
          <w:i/>
          <w:iCs/>
        </w:rPr>
        <w:t>Materie prime e merci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058206260392dd230652bc4d1331d06">
              <w:r>
                <w:rPr>
                  <w:rStyle w:val="Hyperlink"/>
                </w:rPr>
                <w:t>Materie prime e merci</w:t>
              </w:r>
            </w:hyperlink>
          </w:p>
        </w:tc>
        <w:tc>
          <w:tcPr>
            <w:cnfStyle w:evenVBand="true" w:oddVBand="false" w:firstColumn="false"/>
            <w:tcW w:w="11.434303%" w:type="pct"/>
          </w:tcPr>
          <w:p>
            <w:pPr>
              <w:pStyle w:val="table-level-1"/>
              <w:ind w:leftChars="0" w:left="0" w:right="0"/>
              <w:keepNext/>
            </w:pPr>
            <w:r>
              <w:t>1.100</w:t>
            </w:r>
          </w:p>
        </w:tc>
        <w:tc>
          <w:tcPr>
            <w:cnfStyle w:evenVBand="false" w:oddVBand="true" w:firstColumn="false"/>
            <w:tcW w:w="11.434303%" w:type="pct"/>
          </w:tcPr>
          <w:p>
            <w:pPr>
              <w:pStyle w:val="table-level-1"/>
              <w:ind w:leftChars="0" w:left="0" w:right="0"/>
              <w:keepNext/>
            </w:pPr>
            <w:r>
              <w:t>830</w:t>
            </w:r>
          </w:p>
        </w:tc>
        <w:tc>
          <w:tcPr>
            <w:cnfStyle w:evenVBand="true" w:oddVBand="false" w:firstColumn="false"/>
            <w:tcW w:w="11.434303%" w:type="pct"/>
          </w:tcPr>
          <w:p>
            <w:pPr>
              <w:pStyle w:val="table-level-1"/>
              <w:ind w:leftChars="0" w:left="0" w:right="0"/>
              <w:keepNext/>
            </w:pPr>
            <w:r>
              <w:t>645</w:t>
            </w:r>
          </w:p>
        </w:tc>
        <w:tc>
          <w:tcPr>
            <w:cnfStyle w:evenVBand="false" w:oddVBand="true" w:firstColumn="false"/>
            <w:tcW w:w="11.434303%" w:type="pct"/>
          </w:tcPr>
          <w:p>
            <w:pPr>
              <w:pStyle w:val="table-level-1"/>
              <w:ind w:leftChars="0" w:left="0" w:right="0"/>
              <w:keepNext/>
            </w:pPr>
            <w:r>
              <w:t>570</w:t>
            </w:r>
          </w:p>
        </w:tc>
        <w:tc>
          <w:tcPr>
            <w:cnfStyle w:evenVBand="true" w:oddVBand="false" w:firstColumn="false"/>
            <w:tcW w:w="11.434303%" w:type="pct"/>
          </w:tcPr>
          <w:p>
            <w:pPr>
              <w:pStyle w:val="table-level-1"/>
              <w:ind w:leftChars="0" w:left="0" w:right="0"/>
              <w:keepNext/>
            </w:pPr>
            <w:r>
              <w:t>547,5</w:t>
            </w:r>
          </w:p>
        </w:tc>
        <w:tc>
          <w:tcPr>
            <w:cnfStyle w:evenVBand="false" w:oddVBand="true" w:firstColumn="false"/>
            <w:tcW w:w="11.434303%" w:type="pct"/>
          </w:tcPr>
          <w:p>
            <w:pPr>
              <w:pStyle w:val="table-level-1"/>
              <w:ind w:leftChars="0" w:left="0" w:right="0"/>
              <w:keepNext/>
            </w:pPr>
            <w:r>
              <w:t>494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Materie prime</w:t>
            </w:r>
          </w:p>
        </w:tc>
        <w:tc>
          <w:tcPr>
            <w:cnfStyle w:evenVBand="true" w:oddVBand="false" w:firstColumn="false"/>
            <w:tcW w:w="11.434303%" w:type="pct"/>
          </w:tcPr>
          <w:p>
            <w:pPr>
              <w:pStyle w:val="table-level-0"/>
              <w:ind w:leftChars="0" w:left="0" w:right="0"/>
              <w:keepNext/>
            </w:pPr>
            <w:r>
              <w:t>300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80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Materie sussidiarie</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Semilavorati</w:t>
            </w:r>
          </w:p>
        </w:tc>
        <w:tc>
          <w:tcPr>
            <w:cnfStyle w:evenVBand="true" w:oddVBand="false" w:firstColumn="false"/>
            <w:tcW w:w="11.434303%" w:type="pct"/>
          </w:tcPr>
          <w:p>
            <w:pPr>
              <w:pStyle w:val="table-level-0"/>
              <w:ind w:leftChars="0" w:left="0" w:right="0"/>
              <w:keepNext/>
            </w:pPr>
            <w:r>
              <w:t>250</w:t>
            </w:r>
          </w:p>
        </w:tc>
        <w:tc>
          <w:tcPr>
            <w:cnfStyle w:evenVBand="false" w:oddVBand="true" w:firstColumn="false"/>
            <w:tcW w:w="11.434303%" w:type="pct"/>
          </w:tcPr>
          <w:p>
            <w:pPr>
              <w:pStyle w:val="table-level-0"/>
              <w:ind w:leftChars="0" w:left="0" w:right="0"/>
              <w:keepNext/>
            </w:pPr>
            <w:r>
              <w:t>125</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50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Merci</w:t>
            </w:r>
          </w:p>
        </w:tc>
        <w:tc>
          <w:tcPr>
            <w:cnfStyle w:evenVBand="true" w:oddVBand="false" w:firstColumn="false"/>
            <w:tcW w:w="11.434303%" w:type="pct"/>
          </w:tcPr>
          <w:p>
            <w:pPr>
              <w:pStyle w:val="table-level-0"/>
              <w:ind w:leftChars="0" w:left="0" w:right="0"/>
              <w:keepNext/>
            </w:pPr>
            <w:r>
              <w:t>280</w:t>
            </w:r>
          </w:p>
        </w:tc>
        <w:tc>
          <w:tcPr>
            <w:cnfStyle w:evenVBand="false" w:oddVBand="true" w:firstColumn="false"/>
            <w:tcW w:w="11.434303%" w:type="pct"/>
          </w:tcPr>
          <w:p>
            <w:pPr>
              <w:pStyle w:val="table-level-0"/>
              <w:ind w:leftChars="0" w:left="0" w:right="0"/>
              <w:keepNext/>
            </w:pPr>
            <w:r>
              <w:t>230</w:t>
            </w:r>
          </w:p>
        </w:tc>
        <w:tc>
          <w:tcPr>
            <w:cnfStyle w:evenVBand="true" w:oddVBand="false" w:firstColumn="false"/>
            <w:tcW w:w="11.434303%" w:type="pct"/>
          </w:tcPr>
          <w:p>
            <w:pPr>
              <w:pStyle w:val="table-level-0"/>
              <w:ind w:leftChars="0" w:left="0" w:right="0"/>
              <w:keepNext/>
            </w:pPr>
            <w:r>
              <w:t>210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155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Immobilizzazioni c/vendite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10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Materiali di consumo</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64</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Carburanti</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55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Altre materie prime</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30</w:t>
            </w:r>
          </w:p>
        </w:tc>
      </w:tr>
    </w:tbl>
    <w:p>
      <w:pPr>
        <w:pStyle w:val="TableBottomMargin"/>
      </w:pPr>
    </w:p>
    <w:p>
      <w:pPr>
        <w:pStyle w:val="BodyText"/>
        <w:ind w:leftChars="0" w:left="0" w:right="0"/>
      </w:pPr>
      <w:r>
        <w:t xml:space="preserve">Dal prospetto si evince che al 31 dicembre 2022 il valore della voce </w:t>
      </w:r>
      <w:r>
        <w:rPr>
          <w:i/>
          <w:iCs/>
        </w:rPr>
        <w:t>Materie prime e merci</w:t>
      </w:r>
      <w:r>
        <w:t xml:space="preserve"> è pari a € 1.100.000 ed è in crescita del 33% rispetto al 31 dicembre 2021.</w:t>
      </w:r>
    </w:p>
    <w:p>
      <w:pPr>
        <w:pStyle w:val="BodyText"/>
        <w:ind w:leftChars="0" w:left="0" w:right="0"/>
      </w:pPr>
      <w:r>
        <w:t xml:space="preserve">Il grafico seguente mostra l’analisi dell’andamento della voce </w:t>
      </w:r>
      <w:r>
        <w:rPr>
          <w:i/>
          <w:iCs/>
        </w:rPr>
        <w:t>Materie prime e merci</w:t>
      </w:r>
      <w:r>
        <w:t xml:space="preserve"> dal 31 dicembre 2017 al 31 dicembre 2022. Nel periodo evidenziato, il valore medio è stato pari a € 697.750.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2" name="566dc1edc5c97f7fb2eaede2db893182.png" descr="_static/temp/566dc1edc5c97f7fb2eaede2db893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566dc1edc5c97f7fb2eaede2db893182.png" descr="_static/temp/566dc1edc5c97f7fb2eaede2db893182.png"/>
                    <pic:cNvPicPr>
                      <a:picLocks noChangeAspect="1" noChangeArrowheads="1"/>
                    </pic:cNvPicPr>
                  </pic:nvPicPr>
                  <pic:blipFill>
                    <a:blip xmlns:r="http://schemas.openxmlformats.org/officeDocument/2006/relationships" r:embed="rId9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Materie prime e merci</w:t>
      </w:r>
      <w:r>
        <w:t xml:space="preserve"> al 31 dicembre 2022, la componente più significativa è rappresentata dalla voce </w:t>
      </w:r>
      <w:r>
        <w:rPr>
          <w:i/>
          <w:iCs/>
        </w:rPr>
        <w:t>Materie prime</w:t>
      </w:r>
      <w:r>
        <w:t xml:space="preserve"> con un valore pari a 300.000 €. Il grafico seguente visualizza la ripartizione di tutte le componenti della voce </w:t>
      </w:r>
      <w:r>
        <w:rPr>
          <w:i/>
          <w:iCs/>
        </w:rPr>
        <w:t>Materie prime e merci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3" name="036d6f9f1a2b049dc3185fec534fc9c1.png" descr="_static/temp/036d6f9f1a2b049dc3185fec534fc9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36d6f9f1a2b049dc3185fec534fc9c1.png" descr="_static/temp/036d6f9f1a2b049dc3185fec534fc9c1.png"/>
                    <pic:cNvPicPr>
                      <a:picLocks noChangeAspect="1" noChangeArrowheads="1"/>
                    </pic:cNvPicPr>
                  </pic:nvPicPr>
                  <pic:blipFill>
                    <a:blip xmlns:r="http://schemas.openxmlformats.org/officeDocument/2006/relationships" r:embed="rId96"/>
                    <a:srcRect/>
                    <a:stretch>
                      <a:fillRect/>
                    </a:stretch>
                  </pic:blipFill>
                  <pic:spPr bwMode="auto">
                    <a:xfrm>
                      <a:off x="0" y="0"/>
                      <a:ext cx="6476365" cy="3266766"/>
                    </a:xfrm>
                    <a:prstGeom prst="rect">
                      <a:avLst/>
                    </a:prstGeom>
                    <a:noFill/>
                  </pic:spPr>
                </pic:pic>
              </a:graphicData>
            </a:graphic>
          </wp:inline>
        </w:drawing>
      </w:r>
    </w:p>
    <w:bookmarkEnd w:id="556"/>
    <w:bookmarkEnd w:id="557"/>
    <w:bookmarkStart w:id="558" w:name="_661369df8f99d324902dd63188939d42"/>
    <w:bookmarkStart w:id="559" w:name="_9489c45190dd5bde181e95ef2f9d7f7d"/>
    <w:p>
      <w:pPr>
        <w:pStyle w:val="Heading4"/>
        <w:keepNext/>
      </w:pPr>
      <w:r>
        <w:t>Servizi</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ai costi per servizi. Questi rappresentano costi derivanti dall’acquisizione di servizi.</w:t>
      </w:r>
    </w:p>
    <w:p>
      <w:pPr>
        <w:pStyle w:val="BodyText"/>
        <w:ind w:leftChars="0" w:left="0" w:right="0"/>
      </w:pPr>
      <w:r>
        <w:t xml:space="preserve">Il prospetto seguente illustra il dettaglio analitico della voce </w:t>
      </w:r>
      <w:r>
        <w:rPr>
          <w:i/>
          <w:iCs/>
        </w:rPr>
        <w:t>Servizi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9489c45190dd5bde181e95ef2f9d7f7d">
              <w:r>
                <w:rPr>
                  <w:rStyle w:val="Hyperlink"/>
                </w:rPr>
                <w:t>Servizi</w:t>
              </w:r>
            </w:hyperlink>
          </w:p>
        </w:tc>
        <w:tc>
          <w:tcPr>
            <w:cnfStyle w:evenVBand="true" w:oddVBand="false" w:firstColumn="false"/>
            <w:tcW w:w="11.434303%" w:type="pct"/>
          </w:tcPr>
          <w:p>
            <w:pPr>
              <w:pStyle w:val="table-level-1"/>
              <w:ind w:leftChars="0" w:left="0" w:right="0"/>
              <w:keepNext/>
            </w:pPr>
            <w:r>
              <w:t>2.995</w:t>
            </w:r>
          </w:p>
        </w:tc>
        <w:tc>
          <w:tcPr>
            <w:cnfStyle w:evenVBand="false" w:oddVBand="true" w:firstColumn="false"/>
            <w:tcW w:w="11.434303%" w:type="pct"/>
          </w:tcPr>
          <w:p>
            <w:pPr>
              <w:pStyle w:val="table-level-1"/>
              <w:ind w:leftChars="0" w:left="0" w:right="0"/>
              <w:keepNext/>
            </w:pPr>
            <w:r>
              <w:t>2.560</w:t>
            </w:r>
          </w:p>
        </w:tc>
        <w:tc>
          <w:tcPr>
            <w:cnfStyle w:evenVBand="true" w:oddVBand="false" w:firstColumn="false"/>
            <w:tcW w:w="11.434303%" w:type="pct"/>
          </w:tcPr>
          <w:p>
            <w:pPr>
              <w:pStyle w:val="table-level-1"/>
              <w:ind w:leftChars="0" w:left="0" w:right="0"/>
              <w:keepNext/>
            </w:pPr>
            <w:r>
              <w:t>2.080</w:t>
            </w:r>
          </w:p>
        </w:tc>
        <w:tc>
          <w:tcPr>
            <w:cnfStyle w:evenVBand="false" w:oddVBand="true" w:firstColumn="false"/>
            <w:tcW w:w="11.434303%" w:type="pct"/>
          </w:tcPr>
          <w:p>
            <w:pPr>
              <w:pStyle w:val="table-level-1"/>
              <w:ind w:leftChars="0" w:left="0" w:right="0"/>
              <w:keepNext/>
            </w:pPr>
            <w:r>
              <w:t>1.950</w:t>
            </w:r>
          </w:p>
        </w:tc>
        <w:tc>
          <w:tcPr>
            <w:cnfStyle w:evenVBand="true" w:oddVBand="false" w:firstColumn="false"/>
            <w:tcW w:w="11.434303%" w:type="pct"/>
          </w:tcPr>
          <w:p>
            <w:pPr>
              <w:pStyle w:val="table-level-1"/>
              <w:ind w:leftChars="0" w:left="0" w:right="0"/>
              <w:keepNext/>
            </w:pPr>
            <w:r>
              <w:t>1.625</w:t>
            </w:r>
          </w:p>
        </w:tc>
        <w:tc>
          <w:tcPr>
            <w:cnfStyle w:evenVBand="false" w:oddVBand="true" w:firstColumn="false"/>
            <w:tcW w:w="11.434303%" w:type="pct"/>
          </w:tcPr>
          <w:p>
            <w:pPr>
              <w:pStyle w:val="table-level-1"/>
              <w:ind w:leftChars="0" w:left="0" w:right="0"/>
              <w:keepNext/>
            </w:pPr>
            <w:r>
              <w:t>1.442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4c7aff62d0c46132aea3626ed937edb1">
              <w:r>
                <w:rPr>
                  <w:rStyle w:val="Hyperlink"/>
                </w:rPr>
                <w:t>Generali e amministrative</w:t>
              </w:r>
            </w:hyperlink>
          </w:p>
        </w:tc>
        <w:tc>
          <w:tcPr>
            <w:cnfStyle w:evenVBand="true" w:oddVBand="false" w:firstColumn="false"/>
            <w:tcW w:w="11.434303%" w:type="pct"/>
          </w:tcPr>
          <w:p>
            <w:pPr>
              <w:pStyle w:val="table-level-0"/>
              <w:ind w:leftChars="0" w:left="0" w:right="0"/>
              <w:keepNext/>
            </w:pPr>
            <w:r>
              <w:t>1.280</w:t>
            </w:r>
          </w:p>
        </w:tc>
        <w:tc>
          <w:tcPr>
            <w:cnfStyle w:evenVBand="false" w:oddVBand="true" w:firstColumn="false"/>
            <w:tcW w:w="11.434303%" w:type="pct"/>
          </w:tcPr>
          <w:p>
            <w:pPr>
              <w:pStyle w:val="table-level-0"/>
              <w:ind w:leftChars="0" w:left="0" w:right="0"/>
              <w:keepNext/>
            </w:pPr>
            <w:r>
              <w:t>1.210</w:t>
            </w:r>
          </w:p>
        </w:tc>
        <w:tc>
          <w:tcPr>
            <w:cnfStyle w:evenVBand="true" w:oddVBand="false" w:firstColumn="false"/>
            <w:tcW w:w="11.434303%" w:type="pct"/>
          </w:tcPr>
          <w:p>
            <w:pPr>
              <w:pStyle w:val="table-level-0"/>
              <w:ind w:leftChars="0" w:left="0" w:right="0"/>
              <w:keepNext/>
            </w:pPr>
            <w:r>
              <w:t>1.015</w:t>
            </w:r>
          </w:p>
        </w:tc>
        <w:tc>
          <w:tcPr>
            <w:cnfStyle w:evenVBand="false" w:oddVBand="true" w:firstColumn="false"/>
            <w:tcW w:w="11.434303%" w:type="pct"/>
          </w:tcPr>
          <w:p>
            <w:pPr>
              <w:pStyle w:val="table-level-0"/>
              <w:ind w:leftChars="0" w:left="0" w:right="0"/>
              <w:keepNext/>
            </w:pPr>
            <w:r>
              <w:t>985</w:t>
            </w:r>
          </w:p>
        </w:tc>
        <w:tc>
          <w:tcPr>
            <w:cnfStyle w:evenVBand="true" w:oddVBand="false" w:firstColumn="false"/>
            <w:tcW w:w="11.434303%" w:type="pct"/>
          </w:tcPr>
          <w:p>
            <w:pPr>
              <w:pStyle w:val="table-level-0"/>
              <w:ind w:leftChars="0" w:left="0" w:right="0"/>
              <w:keepNext/>
            </w:pPr>
            <w:r>
              <w:t>810</w:t>
            </w:r>
          </w:p>
        </w:tc>
        <w:tc>
          <w:tcPr>
            <w:cnfStyle w:evenVBand="false" w:oddVBand="true" w:firstColumn="false"/>
            <w:tcW w:w="11.434303%" w:type="pct"/>
          </w:tcPr>
          <w:p>
            <w:pPr>
              <w:pStyle w:val="table-level-0"/>
              <w:ind w:leftChars="0" w:left="0" w:right="0"/>
              <w:keepNext/>
            </w:pPr>
            <w:r>
              <w:t>747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Spese per trasporti</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180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140</w:t>
            </w:r>
          </w:p>
        </w:tc>
        <w:tc>
          <w:tcPr>
            <w:cnfStyle w:evenVBand="false" w:oddVBand="true" w:firstColumn="false"/>
            <w:tcW w:w="11.434303%" w:type="pct"/>
          </w:tcPr>
          <w:p>
            <w:pPr>
              <w:pStyle w:val="table-level-0"/>
              <w:ind w:leftChars="0" w:left="0" w:right="0"/>
              <w:keepNext/>
            </w:pPr>
            <w:r>
              <w:t>120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per automezzi</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Prestazioni professionali</w:t>
            </w:r>
          </w:p>
        </w:tc>
        <w:tc>
          <w:tcPr>
            <w:cnfStyle w:evenVBand="true" w:oddVBand="false" w:firstColumn="false"/>
            <w:tcW w:w="11.434303%" w:type="pct"/>
          </w:tcPr>
          <w:p>
            <w:pPr>
              <w:pStyle w:val="table-level-0"/>
              <w:ind w:leftChars="0" w:left="0" w:right="0"/>
              <w:keepNext/>
            </w:pPr>
            <w:r>
              <w:t>160</w:t>
            </w:r>
          </w:p>
        </w:tc>
        <w:tc>
          <w:tcPr>
            <w:cnfStyle w:evenVBand="false" w:oddVBand="true" w:firstColumn="false"/>
            <w:tcW w:w="11.434303%" w:type="pct"/>
          </w:tcPr>
          <w:p>
            <w:pPr>
              <w:pStyle w:val="table-level-0"/>
              <w:ind w:leftChars="0" w:left="0" w:right="0"/>
              <w:keepNext/>
            </w:pPr>
            <w:r>
              <w:t>180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140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Prestazioni di terzi</w:t>
            </w:r>
          </w:p>
        </w:tc>
        <w:tc>
          <w:tcPr>
            <w:cnfStyle w:evenVBand="true" w:oddVBand="false" w:firstColumn="false"/>
            <w:tcW w:w="11.434303%" w:type="pct"/>
          </w:tcPr>
          <w:p>
            <w:pPr>
              <w:pStyle w:val="table-level-0"/>
              <w:ind w:leftChars="0" w:left="0" w:right="0"/>
              <w:keepNext/>
            </w:pPr>
            <w:r>
              <w:t>185</w:t>
            </w:r>
          </w:p>
        </w:tc>
        <w:tc>
          <w:tcPr>
            <w:cnfStyle w:evenVBand="false" w:oddVBand="true" w:firstColumn="false"/>
            <w:tcW w:w="11.434303%" w:type="pct"/>
          </w:tcPr>
          <w:p>
            <w:pPr>
              <w:pStyle w:val="table-level-0"/>
              <w:ind w:leftChars="0" w:left="0" w:right="0"/>
              <w:keepNext/>
            </w:pPr>
            <w:r>
              <w:t>160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Canoni di assistenza tecnica</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90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di manutenzione</w:t>
            </w:r>
          </w:p>
        </w:tc>
        <w:tc>
          <w:tcPr>
            <w:cnfStyle w:evenVBand="true" w:oddVBand="false" w:firstColumn="false"/>
            <w:tcW w:w="11.434303%" w:type="pct"/>
          </w:tcPr>
          <w:p>
            <w:pPr>
              <w:pStyle w:val="table-level-0"/>
              <w:ind w:leftChars="0" w:left="0" w:right="0"/>
              <w:keepNext/>
            </w:pPr>
            <w:r>
              <w:t>105</w:t>
            </w:r>
          </w:p>
        </w:tc>
        <w:tc>
          <w:tcPr>
            <w:cnfStyle w:evenVBand="false" w:oddVBand="true" w:firstColumn="false"/>
            <w:tcW w:w="11.434303%" w:type="pct"/>
          </w:tcPr>
          <w:p>
            <w:pPr>
              <w:pStyle w:val="table-level-0"/>
              <w:ind w:leftChars="0" w:left="0" w:right="0"/>
              <w:keepNext/>
            </w:pPr>
            <w:r>
              <w:t>85</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40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Assicurazioni</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45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Consulenze tecniche</w:t>
            </w:r>
          </w:p>
        </w:tc>
        <w:tc>
          <w:tcPr>
            <w:cnfStyle w:evenVBand="true" w:oddVBand="false" w:firstColumn="false"/>
            <w:tcW w:w="11.434303%" w:type="pct"/>
          </w:tcPr>
          <w:p>
            <w:pPr>
              <w:pStyle w:val="table-level-0"/>
              <w:ind w:leftChars="0" w:left="0" w:right="0"/>
              <w:keepNext/>
            </w:pPr>
            <w:r>
              <w:t>190</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90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Pubblicità e promozione</w:t>
            </w:r>
          </w:p>
        </w:tc>
        <w:tc>
          <w:tcPr>
            <w:cnfStyle w:evenVBand="true" w:oddVBand="false" w:firstColumn="false"/>
            <w:tcW w:w="11.434303%" w:type="pct"/>
          </w:tcPr>
          <w:p>
            <w:pPr>
              <w:pStyle w:val="table-level-0"/>
              <w:ind w:leftChars="0" w:left="0" w:right="0"/>
              <w:keepNext/>
            </w:pPr>
            <w:r>
              <w:t>140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di rappresentanza</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55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Servizi commerciali</w:t>
            </w:r>
          </w:p>
        </w:tc>
        <w:tc>
          <w:tcPr>
            <w:cnfStyle w:evenVBand="true" w:oddVBand="false" w:firstColumn="false"/>
            <w:tcW w:w="11.434303%" w:type="pct"/>
          </w:tcPr>
          <w:p>
            <w:pPr>
              <w:pStyle w:val="table-level-0"/>
              <w:ind w:leftChars="0" w:left="0" w:right="0"/>
              <w:keepNext/>
            </w:pPr>
            <w:r>
              <w:t>190</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Servizi diversi</w:t>
            </w:r>
          </w:p>
        </w:tc>
        <w:tc>
          <w:tcPr>
            <w:cnfStyle w:evenVBand="true" w:oddVBand="false" w:firstColumn="false"/>
            <w:tcW w:w="11.434303%" w:type="pct"/>
          </w:tcPr>
          <w:p>
            <w:pPr>
              <w:pStyle w:val="table-level-0"/>
              <w:ind w:leftChars="0" w:left="0" w:right="0"/>
              <w:keepNext/>
            </w:pPr>
            <w:r>
              <w:t>95</w:t>
            </w:r>
          </w:p>
        </w:tc>
        <w:tc>
          <w:tcPr>
            <w:cnfStyle w:evenVBand="false" w:oddVBand="true" w:firstColumn="false"/>
            <w:tcW w:w="11.434303%" w:type="pct"/>
          </w:tcPr>
          <w:p>
            <w:pPr>
              <w:pStyle w:val="table-level-0"/>
              <w:ind w:leftChars="0" w:left="0" w:right="0"/>
              <w:keepNext/>
            </w:pPr>
            <w:r>
              <w:t>80</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40</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10</w:t>
            </w:r>
          </w:p>
        </w:tc>
      </w:tr>
    </w:tbl>
    <w:p>
      <w:pPr>
        <w:pStyle w:val="TableBottomMargin"/>
      </w:pPr>
    </w:p>
    <w:p>
      <w:pPr>
        <w:pStyle w:val="BodyText"/>
        <w:ind w:leftChars="0" w:left="0" w:right="0"/>
      </w:pPr>
      <w:r>
        <w:t xml:space="preserve">Dal prospetto si evince che al 31 dicembre 2022 il valore della voce </w:t>
      </w:r>
      <w:r>
        <w:rPr>
          <w:i/>
          <w:iCs/>
        </w:rPr>
        <w:t>Servizi</w:t>
      </w:r>
      <w:r>
        <w:t xml:space="preserve"> è pari a € 2.995.000 ed è in crescita del 17% rispetto al 31 dicembre 2021.</w:t>
      </w:r>
    </w:p>
    <w:p>
      <w:pPr>
        <w:pStyle w:val="BodyText"/>
        <w:ind w:leftChars="0" w:left="0" w:right="0"/>
      </w:pPr>
      <w:r>
        <w:t xml:space="preserve">Il grafico seguente mostra l’analisi dell’andamento della voce </w:t>
      </w:r>
      <w:r>
        <w:rPr>
          <w:i/>
          <w:iCs/>
        </w:rPr>
        <w:t>Servizi</w:t>
      </w:r>
      <w:r>
        <w:t xml:space="preserve"> dal 31 dicembre 2017 al 31 dicembre 2022. Nel periodo evidenziato, il valore medio è stato pari a € 2.108.667.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4" name="bf432a3b72c0e4713e64e24a43fa8758.png" descr="_static/temp/bf432a3b72c0e4713e64e24a43fa8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bf432a3b72c0e4713e64e24a43fa8758.png" descr="_static/temp/bf432a3b72c0e4713e64e24a43fa8758.png"/>
                    <pic:cNvPicPr>
                      <a:picLocks noChangeAspect="1" noChangeArrowheads="1"/>
                    </pic:cNvPicPr>
                  </pic:nvPicPr>
                  <pic:blipFill>
                    <a:blip xmlns:r="http://schemas.openxmlformats.org/officeDocument/2006/relationships" r:embed="rId9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Servizi</w:t>
      </w:r>
      <w:r>
        <w:t xml:space="preserve"> al 31 dicembre 2022, la componente più significativa è rappresentata dalla voce </w:t>
      </w:r>
      <w:r>
        <w:rPr>
          <w:i/>
          <w:iCs/>
        </w:rPr>
        <w:t>Spese generali e amministrative</w:t>
      </w:r>
      <w:r>
        <w:t xml:space="preserve"> con un valore pari a 1.280.000 €. Il grafico seguente visualizza la ripartizione di tutte le componenti della voce </w:t>
      </w:r>
      <w:r>
        <w:rPr>
          <w:i/>
          <w:iCs/>
        </w:rPr>
        <w:t>Servizi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5" name="3999e5e7518cc6004f0d3d3ae64371dd.png" descr="_static/temp/3999e5e7518cc6004f0d3d3ae64371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3999e5e7518cc6004f0d3d3ae64371dd.png" descr="_static/temp/3999e5e7518cc6004f0d3d3ae64371dd.png"/>
                    <pic:cNvPicPr>
                      <a:picLocks noChangeAspect="1" noChangeArrowheads="1"/>
                    </pic:cNvPicPr>
                  </pic:nvPicPr>
                  <pic:blipFill>
                    <a:blip xmlns:r="http://schemas.openxmlformats.org/officeDocument/2006/relationships" r:embed="rId98"/>
                    <a:srcRect/>
                    <a:stretch>
                      <a:fillRect/>
                    </a:stretch>
                  </pic:blipFill>
                  <pic:spPr bwMode="auto">
                    <a:xfrm>
                      <a:off x="0" y="0"/>
                      <a:ext cx="6476365" cy="3266766"/>
                    </a:xfrm>
                    <a:prstGeom prst="rect">
                      <a:avLst/>
                    </a:prstGeom>
                    <a:noFill/>
                  </pic:spPr>
                </pic:pic>
              </a:graphicData>
            </a:graphic>
          </wp:inline>
        </w:drawing>
      </w:r>
    </w:p>
    <w:bookmarkStart w:id="560" w:name="_87296c9e0e59eaabad121da0ecef7428"/>
    <w:bookmarkStart w:id="561" w:name="_4c7aff62d0c46132aea3626ed937edb1"/>
    <w:p>
      <w:pPr>
        <w:pStyle w:val="Heading5"/>
        <w:keepNext/>
      </w:pPr>
      <w:r>
        <w:t>Spese generali e amministrative</w:t>
      </w:r>
    </w:p>
    <w:p>
      <w:pPr>
        <w:pStyle w:val="BodyText"/>
        <w:ind w:leftChars="0" w:left="0" w:right="0"/>
      </w:pPr>
      <w:r>
        <w:t xml:space="preserve">La presente sottosezione dei </w:t>
      </w:r>
      <w:hyperlink w:anchor="_9489c45190dd5bde181e95ef2f9d7f7d">
        <w:r>
          <w:rPr>
            <w:rStyle w:val="Hyperlink"/>
          </w:rPr>
          <w:t>Servizi</w:t>
        </w:r>
      </w:hyperlink>
      <w:r>
        <w:t xml:space="preserve"> è dedicata alle Spese generali e amministrative. Queste rappresentano spese amministrative non attribuibili alle funzioni commerciali, produttive o di ricerca e sviluppo.</w:t>
      </w:r>
    </w:p>
    <w:p>
      <w:pPr>
        <w:pStyle w:val="BodyText"/>
        <w:ind w:leftChars="0" w:left="0" w:right="0"/>
      </w:pPr>
      <w:r>
        <w:t xml:space="preserve">Il prospetto seguente illustra il dettaglio analitico della voce </w:t>
      </w:r>
      <w:r>
        <w:rPr>
          <w:i/>
          <w:iCs/>
        </w:rPr>
        <w:t>Spese generali e amministrative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c7aff62d0c46132aea3626ed937edb1">
              <w:r>
                <w:rPr>
                  <w:rStyle w:val="Hyperlink"/>
                </w:rPr>
                <w:t>Generali e amministrative</w:t>
              </w:r>
            </w:hyperlink>
          </w:p>
        </w:tc>
        <w:tc>
          <w:tcPr>
            <w:cnfStyle w:evenVBand="true" w:oddVBand="false" w:firstColumn="false"/>
            <w:tcW w:w="11.434303%" w:type="pct"/>
          </w:tcPr>
          <w:p>
            <w:pPr>
              <w:pStyle w:val="table-level-1"/>
              <w:ind w:leftChars="0" w:left="0" w:right="0"/>
              <w:keepNext/>
            </w:pPr>
            <w:r>
              <w:t>1.280</w:t>
            </w:r>
          </w:p>
        </w:tc>
        <w:tc>
          <w:tcPr>
            <w:cnfStyle w:evenVBand="false" w:oddVBand="true" w:firstColumn="false"/>
            <w:tcW w:w="11.434303%" w:type="pct"/>
          </w:tcPr>
          <w:p>
            <w:pPr>
              <w:pStyle w:val="table-level-1"/>
              <w:ind w:leftChars="0" w:left="0" w:right="0"/>
              <w:keepNext/>
            </w:pPr>
            <w:r>
              <w:t>1.210</w:t>
            </w:r>
          </w:p>
        </w:tc>
        <w:tc>
          <w:tcPr>
            <w:cnfStyle w:evenVBand="true" w:oddVBand="false" w:firstColumn="false"/>
            <w:tcW w:w="11.434303%" w:type="pct"/>
          </w:tcPr>
          <w:p>
            <w:pPr>
              <w:pStyle w:val="table-level-1"/>
              <w:ind w:leftChars="0" w:left="0" w:right="0"/>
              <w:keepNext/>
            </w:pPr>
            <w:r>
              <w:t>1.015</w:t>
            </w:r>
          </w:p>
        </w:tc>
        <w:tc>
          <w:tcPr>
            <w:cnfStyle w:evenVBand="false" w:oddVBand="true" w:firstColumn="false"/>
            <w:tcW w:w="11.434303%" w:type="pct"/>
          </w:tcPr>
          <w:p>
            <w:pPr>
              <w:pStyle w:val="table-level-1"/>
              <w:ind w:leftChars="0" w:left="0" w:right="0"/>
              <w:keepNext/>
            </w:pPr>
            <w:r>
              <w:t>985</w:t>
            </w:r>
          </w:p>
        </w:tc>
        <w:tc>
          <w:tcPr>
            <w:cnfStyle w:evenVBand="true" w:oddVBand="false" w:firstColumn="false"/>
            <w:tcW w:w="11.434303%" w:type="pct"/>
          </w:tcPr>
          <w:p>
            <w:pPr>
              <w:pStyle w:val="table-level-1"/>
              <w:ind w:leftChars="0" w:left="0" w:right="0"/>
              <w:keepNext/>
            </w:pPr>
            <w:r>
              <w:t>810</w:t>
            </w:r>
          </w:p>
        </w:tc>
        <w:tc>
          <w:tcPr>
            <w:cnfStyle w:evenVBand="false" w:oddVBand="true" w:firstColumn="false"/>
            <w:tcW w:w="11.434303%" w:type="pct"/>
          </w:tcPr>
          <w:p>
            <w:pPr>
              <w:pStyle w:val="table-level-1"/>
              <w:ind w:leftChars="0" w:left="0" w:right="0"/>
              <w:keepNext/>
            </w:pPr>
            <w:r>
              <w:t>747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Servizi amministrativi</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90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Compensi agli amministratori</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220</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200</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160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Compensi ai sindaci</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85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85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Compensi ai revisori</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95</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Compensi ai collaboratori</w:t>
            </w:r>
          </w:p>
        </w:tc>
        <w:tc>
          <w:tcPr>
            <w:cnfStyle w:evenVBand="true" w:oddVBand="false" w:firstColumn="false"/>
            <w:tcW w:w="11.434303%" w:type="pct"/>
          </w:tcPr>
          <w:p>
            <w:pPr>
              <w:pStyle w:val="table-level-0"/>
              <w:ind w:leftChars="0" w:left="0" w:right="0"/>
              <w:keepNext/>
            </w:pPr>
            <w:r>
              <w:t>200</w:t>
            </w:r>
          </w:p>
        </w:tc>
        <w:tc>
          <w:tcPr>
            <w:cnfStyle w:evenVBand="false" w:oddVBand="true" w:firstColumn="false"/>
            <w:tcW w:w="11.434303%" w:type="pct"/>
          </w:tcPr>
          <w:p>
            <w:pPr>
              <w:pStyle w:val="table-level-0"/>
              <w:ind w:leftChars="0" w:left="0" w:right="0"/>
              <w:keepNext/>
            </w:pPr>
            <w:r>
              <w:t>170</w:t>
            </w:r>
          </w:p>
        </w:tc>
        <w:tc>
          <w:tcPr>
            <w:cnfStyle w:evenVBand="true" w:oddVBand="false" w:firstColumn="false"/>
            <w:tcW w:w="11.434303%" w:type="pct"/>
          </w:tcPr>
          <w:p>
            <w:pPr>
              <w:pStyle w:val="table-level-0"/>
              <w:ind w:leftChars="0" w:left="0" w:right="0"/>
              <w:keepNext/>
            </w:pPr>
            <w:r>
              <w:t>150</w:t>
            </w:r>
          </w:p>
        </w:tc>
        <w:tc>
          <w:tcPr>
            <w:cnfStyle w:evenVBand="false" w:oddVBand="true" w:firstColumn="false"/>
            <w:tcW w:w="11.434303%" w:type="pct"/>
          </w:tcPr>
          <w:p>
            <w:pPr>
              <w:pStyle w:val="table-level-0"/>
              <w:ind w:leftChars="0" w:left="0" w:right="0"/>
              <w:keepNext/>
            </w:pPr>
            <w:r>
              <w:t>150</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135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Servizi per il personale</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110</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Spese legali e notarili</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65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60</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30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Servizi finanziari</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Energia elettrica</w:t>
            </w:r>
          </w:p>
        </w:tc>
        <w:tc>
          <w:tcPr>
            <w:cnfStyle w:evenVBand="true" w:oddVBand="false" w:firstColumn="false"/>
            <w:tcW w:w="11.434303%" w:type="pct"/>
          </w:tcPr>
          <w:p>
            <w:pPr>
              <w:pStyle w:val="table-level-0"/>
              <w:ind w:leftChars="0" w:left="0" w:right="0"/>
              <w:keepNext/>
            </w:pPr>
            <w:r>
              <w:t>180</w:t>
            </w:r>
          </w:p>
        </w:tc>
        <w:tc>
          <w:tcPr>
            <w:cnfStyle w:evenVBand="false" w:oddVBand="true" w:firstColumn="false"/>
            <w:tcW w:w="11.434303%" w:type="pct"/>
          </w:tcPr>
          <w:p>
            <w:pPr>
              <w:pStyle w:val="table-level-0"/>
              <w:ind w:leftChars="0" w:left="0" w:right="0"/>
              <w:keepNext/>
            </w:pPr>
            <w:r>
              <w:t>120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60</w:t>
            </w:r>
          </w:p>
        </w:tc>
        <w:tc>
          <w:tcPr>
            <w:cnfStyle w:evenVBand="false" w:oddVBand="true" w:firstColumn="false"/>
            <w:tcW w:w="11.434303%" w:type="pct"/>
          </w:tcPr>
          <w:p>
            <w:pPr>
              <w:pStyle w:val="table-level-0"/>
              <w:ind w:leftChars="0" w:left="0" w:right="0"/>
              <w:keepNext/>
            </w:pPr>
            <w:r>
              <w:t>45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Altre utenze</w:t>
            </w:r>
          </w:p>
        </w:tc>
        <w:tc>
          <w:tcPr>
            <w:cnfStyle w:evenVBand="true" w:oddVBand="false" w:firstColumn="false"/>
            <w:tcW w:w="11.434303%" w:type="pct"/>
          </w:tcPr>
          <w:p>
            <w:pPr>
              <w:pStyle w:val="table-level-0"/>
              <w:ind w:leftChars="0" w:left="0" w:right="0"/>
              <w:keepNext/>
            </w:pPr>
            <w:r>
              <w:t>155</w:t>
            </w:r>
          </w:p>
        </w:tc>
        <w:tc>
          <w:tcPr>
            <w:cnfStyle w:evenVBand="false" w:oddVBand="true" w:firstColumn="false"/>
            <w:tcW w:w="11.434303%" w:type="pct"/>
          </w:tcPr>
          <w:p>
            <w:pPr>
              <w:pStyle w:val="table-level-0"/>
              <w:ind w:leftChars="0" w:left="0" w:right="0"/>
              <w:keepNext/>
            </w:pPr>
            <w:r>
              <w:t>145</w:t>
            </w:r>
          </w:p>
        </w:tc>
        <w:tc>
          <w:tcPr>
            <w:cnfStyle w:evenVBand="true" w:oddVBand="false" w:firstColumn="false"/>
            <w:tcW w:w="11.434303%" w:type="pct"/>
          </w:tcPr>
          <w:p>
            <w:pPr>
              <w:pStyle w:val="table-level-0"/>
              <w:ind w:leftChars="0" w:left="0" w:right="0"/>
              <w:keepNext/>
            </w:pPr>
            <w:r>
              <w:t>120</w:t>
            </w:r>
          </w:p>
        </w:tc>
        <w:tc>
          <w:tcPr>
            <w:cnfStyle w:evenVBand="false" w:oddVBand="true" w:firstColumn="false"/>
            <w:tcW w:w="11.434303%" w:type="pct"/>
          </w:tcPr>
          <w:p>
            <w:pPr>
              <w:pStyle w:val="table-level-0"/>
              <w:ind w:leftChars="0" w:left="0" w:right="0"/>
              <w:keepNext/>
            </w:pPr>
            <w:r>
              <w:t>90</w:t>
            </w:r>
          </w:p>
        </w:tc>
        <w:tc>
          <w:tcPr>
            <w:cnfStyle w:evenVBand="true" w:oddVBand="false" w:firstColumn="false"/>
            <w:tcW w:w="11.434303%" w:type="pct"/>
          </w:tcPr>
          <w:p>
            <w:pPr>
              <w:pStyle w:val="table-level-0"/>
              <w:ind w:leftChars="0" w:left="0" w:right="0"/>
              <w:keepNext/>
            </w:pPr>
            <w:r>
              <w:t>75</w:t>
            </w:r>
          </w:p>
        </w:tc>
        <w:tc>
          <w:tcPr>
            <w:cnfStyle w:evenVBand="false" w:oddVBand="true" w:firstColumn="false"/>
            <w:tcW w:w="11.434303%" w:type="pct"/>
          </w:tcPr>
          <w:p>
            <w:pPr>
              <w:pStyle w:val="table-level-0"/>
              <w:ind w:leftChars="0" w:left="0" w:right="0"/>
              <w:keepNext/>
            </w:pPr>
            <w:r>
              <w:t>60</w:t>
            </w:r>
          </w:p>
        </w:tc>
      </w:tr>
    </w:tbl>
    <w:p>
      <w:pPr>
        <w:pStyle w:val="TableBottomMargin"/>
      </w:pPr>
    </w:p>
    <w:p>
      <w:pPr>
        <w:pStyle w:val="BodyText"/>
        <w:ind w:leftChars="0" w:left="0" w:right="0"/>
      </w:pPr>
      <w:r>
        <w:t xml:space="preserve">Dal prospetto si evince che al 31 dicembre 2022 il valore della voce </w:t>
      </w:r>
      <w:r>
        <w:rPr>
          <w:i/>
          <w:iCs/>
        </w:rPr>
        <w:t>Spese generali e amministrative</w:t>
      </w:r>
      <w:r>
        <w:t xml:space="preserve"> è pari a € 1.280.000 ed è in crescita del 6% rispetto al 31 dicembre 2021.</w:t>
      </w:r>
    </w:p>
    <w:p>
      <w:pPr>
        <w:pStyle w:val="BodyText"/>
        <w:ind w:leftChars="0" w:left="0" w:right="0"/>
      </w:pPr>
      <w:r>
        <w:t xml:space="preserve">Il grafico seguente mostra l’analisi dell’andamento della voce </w:t>
      </w:r>
      <w:r>
        <w:rPr>
          <w:i/>
          <w:iCs/>
        </w:rPr>
        <w:t>Spese generali e amministrative</w:t>
      </w:r>
      <w:r>
        <w:t xml:space="preserve"> dal 31 dicembre 2017 al 31 dicembre 2022. Nel periodo evidenziato, il valore medio è stato pari a € 1.007.833.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6" name="d85df9796c8e2859c5fcfd663a4ea66d.png" descr="_static/temp/d85df9796c8e2859c5fcfd663a4ea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85df9796c8e2859c5fcfd663a4ea66d.png" descr="_static/temp/d85df9796c8e2859c5fcfd663a4ea66d.png"/>
                    <pic:cNvPicPr>
                      <a:picLocks noChangeAspect="1" noChangeArrowheads="1"/>
                    </pic:cNvPicPr>
                  </pic:nvPicPr>
                  <pic:blipFill>
                    <a:blip xmlns:r="http://schemas.openxmlformats.org/officeDocument/2006/relationships" r:embed="rId9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Spese generali e amministrative</w:t>
      </w:r>
      <w:r>
        <w:t xml:space="preserve"> al 31 dicembre 2022, la componente più significativa è rappresentata dalla voce </w:t>
      </w:r>
      <w:r>
        <w:rPr>
          <w:i/>
          <w:iCs/>
        </w:rPr>
        <w:t>Compensi ai collaboratori</w:t>
      </w:r>
      <w:r>
        <w:t xml:space="preserve"> con un valore pari a 200.000 €. Il grafico seguente visualizza la ripartizione di tutte le componenti della voce </w:t>
      </w:r>
      <w:r>
        <w:rPr>
          <w:i/>
          <w:iCs/>
        </w:rPr>
        <w:t>Spese generali e amministrative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7" name="5dde90a7c10f0ce2d3f17a3407e70ebe.png" descr="_static/temp/5dde90a7c10f0ce2d3f17a3407e70e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5dde90a7c10f0ce2d3f17a3407e70ebe.png" descr="_static/temp/5dde90a7c10f0ce2d3f17a3407e70ebe.png"/>
                    <pic:cNvPicPr>
                      <a:picLocks noChangeAspect="1" noChangeArrowheads="1"/>
                    </pic:cNvPicPr>
                  </pic:nvPicPr>
                  <pic:blipFill>
                    <a:blip xmlns:r="http://schemas.openxmlformats.org/officeDocument/2006/relationships" r:embed="rId100"/>
                    <a:srcRect/>
                    <a:stretch>
                      <a:fillRect/>
                    </a:stretch>
                  </pic:blipFill>
                  <pic:spPr bwMode="auto">
                    <a:xfrm>
                      <a:off x="0" y="0"/>
                      <a:ext cx="6476365" cy="3266766"/>
                    </a:xfrm>
                    <a:prstGeom prst="rect">
                      <a:avLst/>
                    </a:prstGeom>
                    <a:noFill/>
                  </pic:spPr>
                </pic:pic>
              </a:graphicData>
            </a:graphic>
          </wp:inline>
        </w:drawing>
      </w:r>
    </w:p>
    <w:bookmarkEnd w:id="560"/>
    <w:bookmarkEnd w:id="561"/>
    <w:bookmarkEnd w:id="558"/>
    <w:bookmarkEnd w:id="559"/>
    <w:bookmarkStart w:id="562" w:name="_9cb10fea23f34622d084fadccedbf98a"/>
    <w:bookmarkStart w:id="563" w:name="_811da469f45d1ca9bbf8f211887729a4"/>
    <w:p>
      <w:pPr>
        <w:pStyle w:val="Heading4"/>
        <w:keepNext/>
      </w:pPr>
      <w:r>
        <w:t>Godimento di beni di terzi</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ai costi per godimento di beni di terzi. Questi rappresentano costi sostenuti per l’utilizzo di beni nella disponibilità di terzi soggetti.</w:t>
      </w:r>
    </w:p>
    <w:p>
      <w:pPr>
        <w:pStyle w:val="BodyText"/>
        <w:ind w:leftChars="0" w:left="0" w:right="0"/>
      </w:pPr>
      <w:r>
        <w:t xml:space="preserve">Il prospetto seguente illustra il dettaglio analitico della voce </w:t>
      </w:r>
      <w:r>
        <w:rPr>
          <w:i/>
          <w:iCs/>
        </w:rPr>
        <w:t>Godimento di beni di terzi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11da469f45d1ca9bbf8f211887729a4">
              <w:r>
                <w:rPr>
                  <w:rStyle w:val="Hyperlink"/>
                </w:rPr>
                <w:t>Godimento di beni di terzi</w:t>
              </w:r>
            </w:hyperlink>
          </w:p>
        </w:tc>
        <w:tc>
          <w:tcPr>
            <w:cnfStyle w:evenVBand="true" w:oddVBand="false" w:firstColumn="false"/>
            <w:tcW w:w="11.434303%" w:type="pct"/>
          </w:tcPr>
          <w:p>
            <w:pPr>
              <w:pStyle w:val="table-level-1"/>
              <w:ind w:leftChars="0" w:left="0" w:right="0"/>
              <w:keepNext/>
            </w:pPr>
            <w:r>
              <w:t>126</w:t>
            </w:r>
          </w:p>
        </w:tc>
        <w:tc>
          <w:tcPr>
            <w:cnfStyle w:evenVBand="false" w:oddVBand="true" w:firstColumn="false"/>
            <w:tcW w:w="11.434303%" w:type="pct"/>
          </w:tcPr>
          <w:p>
            <w:pPr>
              <w:pStyle w:val="table-level-1"/>
              <w:ind w:leftChars="0" w:left="0" w:right="0"/>
              <w:keepNext/>
            </w:pPr>
            <w:r>
              <w:t>112</w:t>
            </w:r>
          </w:p>
        </w:tc>
        <w:tc>
          <w:tcPr>
            <w:cnfStyle w:evenVBand="true" w:oddVBand="false" w:firstColumn="false"/>
            <w:tcW w:w="11.434303%" w:type="pct"/>
          </w:tcPr>
          <w:p>
            <w:pPr>
              <w:pStyle w:val="table-level-1"/>
              <w:ind w:leftChars="0" w:left="0" w:right="0"/>
              <w:keepNext/>
            </w:pPr>
            <w:r>
              <w:t>102,5</w:t>
            </w:r>
          </w:p>
        </w:tc>
        <w:tc>
          <w:tcPr>
            <w:cnfStyle w:evenVBand="false" w:oddVBand="true" w:firstColumn="false"/>
            <w:tcW w:w="11.434303%" w:type="pct"/>
          </w:tcPr>
          <w:p>
            <w:pPr>
              <w:pStyle w:val="table-level-1"/>
              <w:ind w:leftChars="0" w:left="0" w:right="0"/>
              <w:keepNext/>
            </w:pPr>
            <w:r>
              <w:t>95</w:t>
            </w:r>
          </w:p>
        </w:tc>
        <w:tc>
          <w:tcPr>
            <w:cnfStyle w:evenVBand="true" w:oddVBand="false" w:firstColumn="false"/>
            <w:tcW w:w="11.434303%" w:type="pct"/>
          </w:tcPr>
          <w:p>
            <w:pPr>
              <w:pStyle w:val="table-level-1"/>
              <w:ind w:leftChars="0" w:left="0" w:right="0"/>
              <w:keepNext/>
            </w:pPr>
            <w:r>
              <w:t>77,5</w:t>
            </w:r>
          </w:p>
        </w:tc>
        <w:tc>
          <w:tcPr>
            <w:cnfStyle w:evenVBand="false" w:oddVBand="true" w:firstColumn="false"/>
            <w:tcW w:w="11.434303%" w:type="pct"/>
          </w:tcPr>
          <w:p>
            <w:pPr>
              <w:pStyle w:val="table-level-1"/>
              <w:ind w:leftChars="0" w:left="0" w:right="0"/>
              <w:keepNext/>
            </w:pPr>
            <w:r>
              <w:t>185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Affitti e locazioni passivi</w:t>
            </w:r>
          </w:p>
        </w:tc>
        <w:tc>
          <w:tcPr>
            <w:cnfStyle w:evenVBand="true" w:oddVBand="false" w:firstColumn="false"/>
            <w:tcW w:w="11.434303%" w:type="pct"/>
          </w:tcPr>
          <w:p>
            <w:pPr>
              <w:pStyle w:val="table-level-0"/>
              <w:ind w:leftChars="0" w:left="0" w:right="0"/>
              <w:keepNext/>
            </w:pPr>
            <w:r>
              <w:t>50</w:t>
            </w:r>
          </w:p>
        </w:tc>
        <w:tc>
          <w:tcPr>
            <w:cnfStyle w:evenVBand="false" w:oddVBand="true" w:firstColumn="false"/>
            <w:tcW w:w="11.434303%" w:type="pct"/>
          </w:tcPr>
          <w:p>
            <w:pPr>
              <w:pStyle w:val="table-level-0"/>
              <w:ind w:leftChars="0" w:left="0" w:right="0"/>
              <w:keepNext/>
            </w:pPr>
            <w:r>
              <w:t>45</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31,5</w:t>
            </w:r>
          </w:p>
        </w:tc>
        <w:tc>
          <w:tcPr>
            <w:cnfStyle w:evenVBand="false" w:oddVBand="true" w:firstColumn="false"/>
            <w:tcW w:w="11.434303%" w:type="pct"/>
          </w:tcPr>
          <w:p>
            <w:pPr>
              <w:pStyle w:val="table-level-0"/>
              <w:ind w:leftChars="0" w:left="0" w:right="0"/>
              <w:keepNext/>
            </w:pPr>
            <w:r>
              <w:t>57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Royalties, diritti d’autore</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28</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21,5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Noleggi passivi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10,5</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Quota interessi leasing</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9</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6,5</w:t>
            </w:r>
          </w:p>
        </w:tc>
        <w:tc>
          <w:tcPr>
            <w:cnfStyle w:evenVBand="false" w:oddVBand="true" w:firstColumn="false"/>
            <w:tcW w:w="11.434303%" w:type="pct"/>
          </w:tcPr>
          <w:p>
            <w:pPr>
              <w:pStyle w:val="table-level-0"/>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Manutenzioni su beni di terzi</w:t>
            </w:r>
          </w:p>
        </w:tc>
        <w:tc>
          <w:tcPr>
            <w:cnfStyle w:evenVBand="true" w:oddVBand="false" w:firstColumn="false"/>
            <w:tcW w:w="11.434303%" w:type="pct"/>
          </w:tcPr>
          <w:p>
            <w:pPr>
              <w:pStyle w:val="table-level-0"/>
              <w:ind w:leftChars="0" w:left="0" w:right="0"/>
              <w:keepNext/>
            </w:pPr>
            <w:r>
              <w:t>19</w:t>
            </w:r>
          </w:p>
        </w:tc>
        <w:tc>
          <w:tcPr>
            <w:cnfStyle w:evenVBand="false" w:oddVBand="true" w:firstColumn="false"/>
            <w:tcW w:w="11.434303%" w:type="pct"/>
          </w:tcPr>
          <w:p>
            <w:pPr>
              <w:pStyle w:val="table-level-0"/>
              <w:ind w:leftChars="0" w:left="0" w:right="0"/>
              <w:keepNext/>
            </w:pPr>
            <w:r>
              <w:t>17</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11,5</w:t>
            </w:r>
          </w:p>
        </w:tc>
        <w:tc>
          <w:tcPr>
            <w:cnfStyle w:evenVBand="false" w:oddVBand="true" w:firstColumn="false"/>
            <w:tcW w:w="11.434303%" w:type="pct"/>
          </w:tcPr>
          <w:p>
            <w:pPr>
              <w:pStyle w:val="table-level-0"/>
              <w:ind w:leftChars="0" w:left="0" w:right="0"/>
              <w:keepNext/>
            </w:pPr>
            <w:r>
              <w:t>8</w:t>
            </w:r>
          </w:p>
        </w:tc>
      </w:tr>
    </w:tbl>
    <w:p>
      <w:pPr>
        <w:pStyle w:val="TableBottomMargin"/>
      </w:pPr>
    </w:p>
    <w:p>
      <w:pPr>
        <w:pStyle w:val="BodyText"/>
        <w:ind w:leftChars="0" w:left="0" w:right="0"/>
      </w:pPr>
      <w:r>
        <w:t xml:space="preserve">Dal prospetto si evince che al 31 dicembre 2022 il valore della voce </w:t>
      </w:r>
      <w:r>
        <w:rPr>
          <w:i/>
          <w:iCs/>
        </w:rPr>
        <w:t>Godimento di beni di terzi</w:t>
      </w:r>
      <w:r>
        <w:t xml:space="preserve"> è pari a € 126.000 ed è in crescita del 12% rispetto al 31 dicembre 2021.</w:t>
      </w:r>
    </w:p>
    <w:p>
      <w:pPr>
        <w:pStyle w:val="BodyText"/>
        <w:ind w:leftChars="0" w:left="0" w:right="0"/>
      </w:pPr>
      <w:r>
        <w:t xml:space="preserve">Il grafico seguente mostra l’analisi dell’andamento della voce </w:t>
      </w:r>
      <w:r>
        <w:rPr>
          <w:i/>
          <w:iCs/>
        </w:rPr>
        <w:t>Godimento di beni di terzi</w:t>
      </w:r>
      <w:r>
        <w:t xml:space="preserve"> dal 31 dicembre 2017 al 31 dicembre 2022. Nel periodo evidenziato, il valore medio è stato pari a € 116.333.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8" name="f77e893970fb094ec30f6d3dc00b5491.png" descr="_static/temp/f77e893970fb094ec30f6d3dc00b5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f77e893970fb094ec30f6d3dc00b5491.png" descr="_static/temp/f77e893970fb094ec30f6d3dc00b5491.png"/>
                    <pic:cNvPicPr>
                      <a:picLocks noChangeAspect="1" noChangeArrowheads="1"/>
                    </pic:cNvPicPr>
                  </pic:nvPicPr>
                  <pic:blipFill>
                    <a:blip xmlns:r="http://schemas.openxmlformats.org/officeDocument/2006/relationships" r:embed="rId10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Godimento di beni di terzi</w:t>
      </w:r>
      <w:r>
        <w:t xml:space="preserve"> al 31 dicembre 2022, la componente più significativa è rappresentata dalla voce </w:t>
      </w:r>
      <w:r>
        <w:rPr>
          <w:i/>
          <w:iCs/>
        </w:rPr>
        <w:t>Affitti</w:t>
      </w:r>
      <w:r>
        <w:t xml:space="preserve"> con un valore pari a 50.000 €. Il grafico seguente visualizza la ripartizione di tutte le componenti della voce </w:t>
      </w:r>
      <w:r>
        <w:rPr>
          <w:i/>
          <w:iCs/>
        </w:rPr>
        <w:t>Godimento di beni di terzi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79" name="aa432f02f1700cf13b32f0aca5bcda26.png" descr="_static/temp/aa432f02f1700cf13b32f0aca5bcda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a432f02f1700cf13b32f0aca5bcda26.png" descr="_static/temp/aa432f02f1700cf13b32f0aca5bcda26.png"/>
                    <pic:cNvPicPr>
                      <a:picLocks noChangeAspect="1" noChangeArrowheads="1"/>
                    </pic:cNvPicPr>
                  </pic:nvPicPr>
                  <pic:blipFill>
                    <a:blip xmlns:r="http://schemas.openxmlformats.org/officeDocument/2006/relationships" r:embed="rId102"/>
                    <a:srcRect/>
                    <a:stretch>
                      <a:fillRect/>
                    </a:stretch>
                  </pic:blipFill>
                  <pic:spPr bwMode="auto">
                    <a:xfrm>
                      <a:off x="0" y="0"/>
                      <a:ext cx="6476365" cy="3266766"/>
                    </a:xfrm>
                    <a:prstGeom prst="rect">
                      <a:avLst/>
                    </a:prstGeom>
                    <a:noFill/>
                  </pic:spPr>
                </pic:pic>
              </a:graphicData>
            </a:graphic>
          </wp:inline>
        </w:drawing>
      </w:r>
    </w:p>
    <w:bookmarkEnd w:id="562"/>
    <w:bookmarkEnd w:id="563"/>
    <w:bookmarkStart w:id="564" w:name="_087e37e419d40e0484201460df1fd81a"/>
    <w:bookmarkStart w:id="565" w:name="_331e1edc15acaabb6eb7bdcad23dfaca"/>
    <w:p>
      <w:pPr>
        <w:pStyle w:val="Heading4"/>
        <w:keepNext/>
      </w:pPr>
      <w:r>
        <w:t>Personale</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ai costi del personale. Questi rappresentano costi sostenuti per il personale dipendente, incluso il lavoro interinale.</w:t>
      </w:r>
    </w:p>
    <w:p>
      <w:pPr>
        <w:pStyle w:val="BodyText"/>
        <w:ind w:leftChars="0" w:left="0" w:right="0"/>
      </w:pPr>
      <w:r>
        <w:t xml:space="preserve">Il prospetto seguente illustra il dettaglio analitico della voce </w:t>
      </w:r>
      <w:r>
        <w:rPr>
          <w:i/>
          <w:iCs/>
        </w:rPr>
        <w:t>Personale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31e1edc15acaabb6eb7bdcad23dfaca">
              <w:r>
                <w:rPr>
                  <w:rStyle w:val="Hyperlink"/>
                </w:rPr>
                <w:t>Personale</w:t>
              </w:r>
            </w:hyperlink>
          </w:p>
        </w:tc>
        <w:tc>
          <w:tcPr>
            <w:cnfStyle w:evenVBand="true" w:oddVBand="false" w:firstColumn="false"/>
            <w:tcW w:w="11.434303%" w:type="pct"/>
          </w:tcPr>
          <w:p>
            <w:pPr>
              <w:pStyle w:val="table-level-1"/>
              <w:ind w:leftChars="0" w:left="0" w:right="0"/>
              <w:keepNext/>
            </w:pPr>
            <w:r>
              <w:t>983</w:t>
            </w:r>
          </w:p>
        </w:tc>
        <w:tc>
          <w:tcPr>
            <w:cnfStyle w:evenVBand="false" w:oddVBand="true" w:firstColumn="false"/>
            <w:tcW w:w="11.434303%" w:type="pct"/>
          </w:tcPr>
          <w:p>
            <w:pPr>
              <w:pStyle w:val="table-level-1"/>
              <w:ind w:leftChars="0" w:left="0" w:right="0"/>
              <w:keepNext/>
            </w:pPr>
            <w:r>
              <w:t>929</w:t>
            </w:r>
          </w:p>
        </w:tc>
        <w:tc>
          <w:tcPr>
            <w:cnfStyle w:evenVBand="true" w:oddVBand="false" w:firstColumn="false"/>
            <w:tcW w:w="11.434303%" w:type="pct"/>
          </w:tcPr>
          <w:p>
            <w:pPr>
              <w:pStyle w:val="table-level-1"/>
              <w:ind w:leftChars="0" w:left="0" w:right="0"/>
              <w:keepNext/>
            </w:pPr>
            <w:r>
              <w:t>810</w:t>
            </w:r>
          </w:p>
        </w:tc>
        <w:tc>
          <w:tcPr>
            <w:cnfStyle w:evenVBand="false" w:oddVBand="true" w:firstColumn="false"/>
            <w:tcW w:w="11.434303%" w:type="pct"/>
          </w:tcPr>
          <w:p>
            <w:pPr>
              <w:pStyle w:val="table-level-1"/>
              <w:ind w:leftChars="0" w:left="0" w:right="0"/>
              <w:keepNext/>
            </w:pPr>
            <w:r>
              <w:t>760</w:t>
            </w:r>
          </w:p>
        </w:tc>
        <w:tc>
          <w:tcPr>
            <w:cnfStyle w:evenVBand="true" w:oddVBand="false" w:firstColumn="false"/>
            <w:tcW w:w="11.434303%" w:type="pct"/>
          </w:tcPr>
          <w:p>
            <w:pPr>
              <w:pStyle w:val="table-level-1"/>
              <w:ind w:leftChars="0" w:left="0" w:right="0"/>
              <w:keepNext/>
            </w:pPr>
            <w:r>
              <w:t>720</w:t>
            </w:r>
          </w:p>
        </w:tc>
        <w:tc>
          <w:tcPr>
            <w:cnfStyle w:evenVBand="false" w:oddVBand="true" w:firstColumn="false"/>
            <w:tcW w:w="11.434303%" w:type="pct"/>
          </w:tcPr>
          <w:p>
            <w:pPr>
              <w:pStyle w:val="table-level-1"/>
              <w:ind w:leftChars="0" w:left="0" w:right="0"/>
              <w:keepNext/>
            </w:pPr>
            <w:r>
              <w:t>690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Salari e stipendi</w:t>
            </w:r>
          </w:p>
        </w:tc>
        <w:tc>
          <w:tcPr>
            <w:cnfStyle w:evenVBand="true" w:oddVBand="false" w:firstColumn="false"/>
            <w:tcW w:w="11.434303%" w:type="pct"/>
          </w:tcPr>
          <w:p>
            <w:pPr>
              <w:pStyle w:val="table-level-0"/>
              <w:ind w:leftChars="0" w:left="0" w:right="0"/>
              <w:keepNext/>
            </w:pPr>
            <w:r>
              <w:t>715</w:t>
            </w:r>
          </w:p>
        </w:tc>
        <w:tc>
          <w:tcPr>
            <w:cnfStyle w:evenVBand="false" w:oddVBand="true" w:firstColumn="false"/>
            <w:tcW w:w="11.434303%" w:type="pct"/>
          </w:tcPr>
          <w:p>
            <w:pPr>
              <w:pStyle w:val="table-level-0"/>
              <w:ind w:leftChars="0" w:left="0" w:right="0"/>
              <w:keepNext/>
            </w:pPr>
            <w:r>
              <w:t>690</w:t>
            </w:r>
          </w:p>
        </w:tc>
        <w:tc>
          <w:tcPr>
            <w:cnfStyle w:evenVBand="true" w:oddVBand="false" w:firstColumn="false"/>
            <w:tcW w:w="11.434303%" w:type="pct"/>
          </w:tcPr>
          <w:p>
            <w:pPr>
              <w:pStyle w:val="table-level-0"/>
              <w:ind w:leftChars="0" w:left="0" w:right="0"/>
              <w:keepNext/>
            </w:pPr>
            <w:r>
              <w:t>600</w:t>
            </w:r>
          </w:p>
        </w:tc>
        <w:tc>
          <w:tcPr>
            <w:cnfStyle w:evenVBand="false" w:oddVBand="true" w:firstColumn="false"/>
            <w:tcW w:w="11.434303%" w:type="pct"/>
          </w:tcPr>
          <w:p>
            <w:pPr>
              <w:pStyle w:val="table-level-0"/>
              <w:ind w:leftChars="0" w:left="0" w:right="0"/>
              <w:keepNext/>
            </w:pPr>
            <w:r>
              <w:t>600</w:t>
            </w:r>
          </w:p>
        </w:tc>
        <w:tc>
          <w:tcPr>
            <w:cnfStyle w:evenVBand="true" w:oddVBand="false" w:firstColumn="false"/>
            <w:tcW w:w="11.434303%" w:type="pct"/>
          </w:tcPr>
          <w:p>
            <w:pPr>
              <w:pStyle w:val="table-level-0"/>
              <w:ind w:leftChars="0" w:left="0" w:right="0"/>
              <w:keepNext/>
            </w:pPr>
            <w:r>
              <w:t>585</w:t>
            </w:r>
          </w:p>
        </w:tc>
        <w:tc>
          <w:tcPr>
            <w:cnfStyle w:evenVBand="false" w:oddVBand="true" w:firstColumn="false"/>
            <w:tcW w:w="11.434303%" w:type="pct"/>
          </w:tcPr>
          <w:p>
            <w:pPr>
              <w:pStyle w:val="table-level-0"/>
              <w:ind w:leftChars="0" w:left="0" w:right="0"/>
              <w:keepNext/>
            </w:pPr>
            <w:r>
              <w:t>570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Oneri sociali</w:t>
            </w:r>
          </w:p>
        </w:tc>
        <w:tc>
          <w:tcPr>
            <w:cnfStyle w:evenVBand="true" w:oddVBand="false" w:firstColumn="false"/>
            <w:tcW w:w="11.434303%" w:type="pct"/>
          </w:tcPr>
          <w:p>
            <w:pPr>
              <w:pStyle w:val="table-level-0"/>
              <w:ind w:leftChars="0" w:left="0" w:right="0"/>
              <w:keepNext/>
            </w:pPr>
            <w:r>
              <w:t>88</w:t>
            </w:r>
          </w:p>
        </w:tc>
        <w:tc>
          <w:tcPr>
            <w:cnfStyle w:evenVBand="false" w:oddVBand="true" w:firstColumn="false"/>
            <w:tcW w:w="11.434303%" w:type="pct"/>
          </w:tcPr>
          <w:p>
            <w:pPr>
              <w:pStyle w:val="table-level-0"/>
              <w:ind w:leftChars="0" w:left="0" w:right="0"/>
              <w:keepNext/>
            </w:pPr>
            <w:r>
              <w:t>84</w:t>
            </w:r>
          </w:p>
        </w:tc>
        <w:tc>
          <w:tcPr>
            <w:cnfStyle w:evenVBand="true" w:oddVBand="false" w:firstColumn="false"/>
            <w:tcW w:w="11.434303%" w:type="pct"/>
          </w:tcPr>
          <w:p>
            <w:pPr>
              <w:pStyle w:val="table-level-0"/>
              <w:ind w:leftChars="0" w:left="0" w:right="0"/>
              <w:keepNext/>
            </w:pPr>
            <w:r>
              <w:t>80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20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TFR e trattamento quiescenza</w:t>
            </w:r>
          </w:p>
        </w:tc>
        <w:tc>
          <w:tcPr>
            <w:cnfStyle w:evenVBand="true" w:oddVBand="false" w:firstColumn="false"/>
            <w:tcW w:w="11.434303%" w:type="pct"/>
          </w:tcPr>
          <w:p>
            <w:pPr>
              <w:pStyle w:val="table-level-0"/>
              <w:ind w:leftChars="0" w:left="0" w:right="0"/>
              <w:keepNext/>
            </w:pPr>
            <w:r>
              <w:t>110</w:t>
            </w:r>
          </w:p>
        </w:tc>
        <w:tc>
          <w:tcPr>
            <w:cnfStyle w:evenVBand="false" w:oddVBand="true" w:firstColumn="false"/>
            <w:tcW w:w="11.434303%" w:type="pct"/>
          </w:tcPr>
          <w:p>
            <w:pPr>
              <w:pStyle w:val="table-level-0"/>
              <w:ind w:leftChars="0" w:left="0" w:right="0"/>
              <w:keepNext/>
            </w:pPr>
            <w:r>
              <w:t>105</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85</w:t>
            </w:r>
          </w:p>
        </w:tc>
        <w:tc>
          <w:tcPr>
            <w:cnfStyle w:evenVBand="false" w:oddVBand="true" w:firstColumn="false"/>
            <w:tcW w:w="11.434303%" w:type="pct"/>
          </w:tcPr>
          <w:p>
            <w:pPr>
              <w:pStyle w:val="table-level-0"/>
              <w:ind w:leftChars="0" w:left="0" w:right="0"/>
              <w:keepNext/>
            </w:pPr>
            <w:r>
              <w:t>70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Altri costi del personale</w:t>
            </w:r>
          </w:p>
        </w:tc>
        <w:tc>
          <w:tcPr>
            <w:cnfStyle w:evenVBand="true" w:oddVBand="false" w:firstColumn="false"/>
            <w:tcW w:w="11.434303%" w:type="pct"/>
          </w:tcPr>
          <w:p>
            <w:pPr>
              <w:pStyle w:val="table-level-0"/>
              <w:ind w:leftChars="0" w:left="0" w:right="0"/>
              <w:keepNext/>
            </w:pPr>
            <w:r>
              <w:t>70</w:t>
            </w:r>
          </w:p>
        </w:tc>
        <w:tc>
          <w:tcPr>
            <w:cnfStyle w:evenVBand="false" w:oddVBand="true" w:firstColumn="false"/>
            <w:tcW w:w="11.434303%" w:type="pct"/>
          </w:tcPr>
          <w:p>
            <w:pPr>
              <w:pStyle w:val="table-level-0"/>
              <w:ind w:leftChars="0" w:left="0" w:right="0"/>
              <w:keepNext/>
            </w:pPr>
            <w:r>
              <w:t>50</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10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30</w:t>
            </w:r>
          </w:p>
        </w:tc>
      </w:tr>
    </w:tbl>
    <w:p>
      <w:pPr>
        <w:pStyle w:val="TableBottomMargin"/>
      </w:pPr>
    </w:p>
    <w:p>
      <w:pPr>
        <w:pStyle w:val="BodyText"/>
        <w:ind w:leftChars="0" w:left="0" w:right="0"/>
      </w:pPr>
      <w:r>
        <w:t xml:space="preserve">Dal prospetto si evince che al 31 dicembre 2022 il valore della voce </w:t>
      </w:r>
      <w:r>
        <w:rPr>
          <w:i/>
          <w:iCs/>
        </w:rPr>
        <w:t>Personale</w:t>
      </w:r>
      <w:r>
        <w:t xml:space="preserve"> è pari a € 983.000 ed è in crescita del 6% rispetto al 31 dicembre 2021.</w:t>
      </w:r>
    </w:p>
    <w:p>
      <w:pPr>
        <w:pStyle w:val="BodyText"/>
        <w:ind w:leftChars="0" w:left="0" w:right="0"/>
      </w:pPr>
      <w:r>
        <w:t xml:space="preserve">Il grafico seguente mostra l’analisi dell’andamento della voce </w:t>
      </w:r>
      <w:r>
        <w:rPr>
          <w:i/>
          <w:iCs/>
        </w:rPr>
        <w:t>Personale</w:t>
      </w:r>
      <w:r>
        <w:t xml:space="preserve"> dal 31 dicembre 2017 al 31 dicembre 2022. Nel periodo evidenziato, il valore medio è stato pari a € 815.333.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0" name="346990e55605a1ab3d4f12336898fcb8.png" descr="_static/temp/346990e55605a1ab3d4f12336898fc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46990e55605a1ab3d4f12336898fcb8.png" descr="_static/temp/346990e55605a1ab3d4f12336898fcb8.png"/>
                    <pic:cNvPicPr>
                      <a:picLocks noChangeAspect="1" noChangeArrowheads="1"/>
                    </pic:cNvPicPr>
                  </pic:nvPicPr>
                  <pic:blipFill>
                    <a:blip xmlns:r="http://schemas.openxmlformats.org/officeDocument/2006/relationships" r:embed="rId10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Personale</w:t>
      </w:r>
      <w:r>
        <w:t xml:space="preserve"> al 31 dicembre 2022, la componente più significativa è rappresentata dalla voce </w:t>
      </w:r>
      <w:r>
        <w:rPr>
          <w:i/>
          <w:iCs/>
        </w:rPr>
        <w:t>Salari e stipendi</w:t>
      </w:r>
      <w:r>
        <w:t xml:space="preserve"> con un valore pari a 715.000 €. Il grafico seguente visualizza la ripartizione di tutte le componenti della voce </w:t>
      </w:r>
      <w:r>
        <w:rPr>
          <w:i/>
          <w:iCs/>
        </w:rPr>
        <w:t>Personale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1" name="406290f5174afaa8ff86281f394ce360.png" descr="_static/temp/406290f5174afaa8ff86281f394c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6290f5174afaa8ff86281f394ce360.png" descr="_static/temp/406290f5174afaa8ff86281f394ce360.png"/>
                    <pic:cNvPicPr>
                      <a:picLocks noChangeAspect="1" noChangeArrowheads="1"/>
                    </pic:cNvPicPr>
                  </pic:nvPicPr>
                  <pic:blipFill>
                    <a:blip xmlns:r="http://schemas.openxmlformats.org/officeDocument/2006/relationships" r:embed="rId104"/>
                    <a:srcRect/>
                    <a:stretch>
                      <a:fillRect/>
                    </a:stretch>
                  </pic:blipFill>
                  <pic:spPr bwMode="auto">
                    <a:xfrm>
                      <a:off x="0" y="0"/>
                      <a:ext cx="6476365" cy="3266766"/>
                    </a:xfrm>
                    <a:prstGeom prst="rect">
                      <a:avLst/>
                    </a:prstGeom>
                    <a:noFill/>
                  </pic:spPr>
                </pic:pic>
              </a:graphicData>
            </a:graphic>
          </wp:inline>
        </w:drawing>
      </w:r>
    </w:p>
    <w:bookmarkEnd w:id="564"/>
    <w:bookmarkEnd w:id="565"/>
    <w:bookmarkStart w:id="566" w:name="_10213c2ede85849da73016ab4d08820d"/>
    <w:bookmarkStart w:id="567" w:name="_fb9d00da0cb0252a2b01f666265ace05"/>
    <w:p>
      <w:pPr>
        <w:pStyle w:val="Heading4"/>
        <w:keepNext/>
      </w:pPr>
      <w:r>
        <w:t>Accantonamenti per rischi e oneri</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agli accantonamenti per rischi e oneri. Rappresentano quote del reddito d’esercizio destinate alla costituzione di fondi a copertura di futuri rischi o spese.</w:t>
      </w:r>
    </w:p>
    <w:p>
      <w:pPr>
        <w:pStyle w:val="BodyText"/>
        <w:ind w:leftChars="0" w:left="0" w:right="0"/>
      </w:pPr>
      <w:r>
        <w:t xml:space="preserve">Il prospetto seguente illustra il dettaglio analitico della voce </w:t>
      </w:r>
      <w:r>
        <w:rPr>
          <w:i/>
          <w:iCs/>
        </w:rPr>
        <w:t>Accantonamenti per rischi e oneri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fb9d00da0cb0252a2b01f666265ace05">
              <w:r>
                <w:rPr>
                  <w:rStyle w:val="Hyperlink"/>
                </w:rPr>
                <w:t>Accantonamenti rischi e oneri</w:t>
              </w:r>
            </w:hyperlink>
          </w:p>
        </w:tc>
        <w:tc>
          <w:tcPr>
            <w:cnfStyle w:evenVBand="true" w:oddVBand="false" w:firstColumn="false"/>
            <w:tcW w:w="11.434303%" w:type="pct"/>
          </w:tcPr>
          <w:p>
            <w:pPr>
              <w:pStyle w:val="table-level-1"/>
              <w:ind w:leftChars="0" w:left="0" w:right="0"/>
              <w:keepNext/>
            </w:pPr>
            <w:r>
              <w:t>20</w:t>
            </w:r>
          </w:p>
        </w:tc>
        <w:tc>
          <w:tcPr>
            <w:cnfStyle w:evenVBand="false" w:oddVBand="true" w:firstColumn="false"/>
            <w:tcW w:w="11.434303%" w:type="pct"/>
          </w:tcPr>
          <w:p>
            <w:pPr>
              <w:pStyle w:val="table-level-1"/>
              <w:ind w:leftChars="0" w:left="0" w:right="0"/>
              <w:keepNext/>
            </w:pPr>
            <w:r>
              <w:t>15</w:t>
            </w:r>
          </w:p>
        </w:tc>
        <w:tc>
          <w:tcPr>
            <w:cnfStyle w:evenVBand="true" w:oddVBand="false" w:firstColumn="false"/>
            <w:tcW w:w="11.434303%" w:type="pct"/>
          </w:tcPr>
          <w:p>
            <w:pPr>
              <w:pStyle w:val="table-level-1"/>
              <w:ind w:leftChars="0" w:left="0" w:right="0"/>
              <w:keepNext/>
            </w:pPr>
            <w:r>
              <w:t>25</w:t>
            </w:r>
          </w:p>
        </w:tc>
        <w:tc>
          <w:tcPr>
            <w:cnfStyle w:evenVBand="false" w:oddVBand="true" w:firstColumn="false"/>
            <w:tcW w:w="11.434303%" w:type="pct"/>
          </w:tcPr>
          <w:p>
            <w:pPr>
              <w:pStyle w:val="table-level-1"/>
              <w:ind w:leftChars="0" w:left="0" w:right="0"/>
              <w:keepNext/>
            </w:pPr>
            <w:r>
              <w:t>25</w:t>
            </w:r>
          </w:p>
        </w:tc>
        <w:tc>
          <w:tcPr>
            <w:cnfStyle w:evenVBand="true" w:oddVBand="false" w:firstColumn="false"/>
            <w:tcW w:w="11.434303%" w:type="pct"/>
          </w:tcPr>
          <w:p>
            <w:pPr>
              <w:pStyle w:val="table-level-1"/>
              <w:ind w:leftChars="0" w:left="0" w:right="0"/>
              <w:keepNext/>
            </w:pPr>
            <w:r>
              <w:t>45</w:t>
            </w:r>
          </w:p>
        </w:tc>
        <w:tc>
          <w:tcPr>
            <w:cnfStyle w:evenVBand="false" w:oddVBand="true" w:firstColumn="false"/>
            <w:tcW w:w="11.434303%" w:type="pct"/>
          </w:tcPr>
          <w:p>
            <w:pPr>
              <w:pStyle w:val="table-level-1"/>
              <w:ind w:leftChars="0" w:left="0" w:right="0"/>
              <w:keepNext/>
            </w:pPr>
            <w:r>
              <w:t>27</w:t>
            </w:r>
          </w:p>
        </w:tc>
      </w:tr>
    </w:tbl>
    <w:p>
      <w:pPr>
        <w:pStyle w:val="TableBottomMargin"/>
      </w:pPr>
    </w:p>
    <w:p>
      <w:pPr>
        <w:pStyle w:val="BodyText"/>
        <w:ind w:leftChars="0" w:left="0" w:right="0"/>
      </w:pPr>
      <w:r>
        <w:t xml:space="preserve">Dal prospetto si evince che al 31 dicembre 2022 il valore della voce </w:t>
      </w:r>
      <w:r>
        <w:rPr>
          <w:i/>
          <w:iCs/>
        </w:rPr>
        <w:t>Accantonamenti per rischi e oneri</w:t>
      </w:r>
      <w:r>
        <w:t xml:space="preserve"> è pari a € 20.000 ed è in crescita del 33% rispetto al 31 dicembre 2021.</w:t>
      </w:r>
    </w:p>
    <w:p>
      <w:pPr>
        <w:pStyle w:val="BodyText"/>
        <w:ind w:leftChars="0" w:left="0" w:right="0"/>
      </w:pPr>
      <w:r>
        <w:t xml:space="preserve">Il grafico seguente mostra l’analisi dell’andamento della voce </w:t>
      </w:r>
      <w:r>
        <w:rPr>
          <w:i/>
          <w:iCs/>
        </w:rPr>
        <w:t>Accantonamenti per rischi e oneri</w:t>
      </w:r>
      <w:r>
        <w:t xml:space="preserve"> dal 31 dicembre 2017 al 31 dicembre 2022. Nel periodo evidenziato, il valore medio è stato pari a € 26.167.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2" name="42a2992661349dcea0da45db84b72c7e.png" descr="_static/temp/42a2992661349dcea0da45db84b72c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2a2992661349dcea0da45db84b72c7e.png" descr="_static/temp/42a2992661349dcea0da45db84b72c7e.png"/>
                    <pic:cNvPicPr>
                      <a:picLocks noChangeAspect="1" noChangeArrowheads="1"/>
                    </pic:cNvPicPr>
                  </pic:nvPicPr>
                  <pic:blipFill>
                    <a:blip xmlns:r="http://schemas.openxmlformats.org/officeDocument/2006/relationships" r:embed="rId105"/>
                    <a:srcRect/>
                    <a:stretch>
                      <a:fillRect/>
                    </a:stretch>
                  </pic:blipFill>
                  <pic:spPr bwMode="auto">
                    <a:xfrm>
                      <a:off x="0" y="0"/>
                      <a:ext cx="6476365" cy="3266766"/>
                    </a:xfrm>
                    <a:prstGeom prst="rect">
                      <a:avLst/>
                    </a:prstGeom>
                    <a:noFill/>
                  </pic:spPr>
                </pic:pic>
              </a:graphicData>
            </a:graphic>
          </wp:inline>
        </w:drawing>
      </w:r>
    </w:p>
    <w:bookmarkEnd w:id="566"/>
    <w:bookmarkEnd w:id="567"/>
    <w:bookmarkStart w:id="568" w:name="_25e94304b52823362495ddbd66f73bd8"/>
    <w:bookmarkStart w:id="569" w:name="_30f83851ac160a36e5cd8a71827c28d6"/>
    <w:p>
      <w:pPr>
        <w:pStyle w:val="Heading4"/>
        <w:keepNext/>
      </w:pPr>
      <w:r>
        <w:t>Oneri di gestione</w:t>
      </w:r>
    </w:p>
    <w:p>
      <w:pPr>
        <w:pStyle w:val="BodyText"/>
        <w:ind w:leftChars="0" w:left="0" w:right="0"/>
      </w:pPr>
      <w:r>
        <w:t xml:space="preserve">La presente sottosezione dei </w:t>
      </w:r>
      <w:hyperlink w:anchor="_76284af3e1ef73375f80178ffe0aa6e6">
        <w:r>
          <w:rPr>
            <w:rStyle w:val="Hyperlink"/>
          </w:rPr>
          <w:t>Costi operativi</w:t>
        </w:r>
      </w:hyperlink>
      <w:r>
        <w:t xml:space="preserve"> è dedicata agli oneri di gestione. Questi rappresentano costi operativi non iscrivibili in uno specifico raggruppamento del conto economico.</w:t>
      </w:r>
    </w:p>
    <w:p>
      <w:pPr>
        <w:pStyle w:val="BodyText"/>
        <w:ind w:leftChars="0" w:left="0" w:right="0"/>
      </w:pPr>
      <w:r>
        <w:t xml:space="preserve">Il prospetto seguente illustra il dettaglio analitico della voce </w:t>
      </w:r>
      <w:r>
        <w:rPr>
          <w:i/>
          <w:iCs/>
        </w:rPr>
        <w:t>Oneri di gestione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30f83851ac160a36e5cd8a71827c28d6">
              <w:r>
                <w:rPr>
                  <w:rStyle w:val="Hyperlink"/>
                </w:rPr>
                <w:t>Oneri di gestione</w:t>
              </w:r>
            </w:hyperlink>
          </w:p>
        </w:tc>
        <w:tc>
          <w:tcPr>
            <w:cnfStyle w:evenVBand="true" w:oddVBand="false" w:firstColumn="false"/>
            <w:tcW w:w="11.434303%" w:type="pct"/>
          </w:tcPr>
          <w:p>
            <w:pPr>
              <w:pStyle w:val="table-level-1"/>
              <w:ind w:leftChars="0" w:left="0" w:right="0"/>
              <w:keepNext/>
            </w:pPr>
            <w:r>
              <w:t>118</w:t>
            </w:r>
          </w:p>
        </w:tc>
        <w:tc>
          <w:tcPr>
            <w:cnfStyle w:evenVBand="false" w:oddVBand="true" w:firstColumn="false"/>
            <w:tcW w:w="11.434303%" w:type="pct"/>
          </w:tcPr>
          <w:p>
            <w:pPr>
              <w:pStyle w:val="table-level-1"/>
              <w:ind w:leftChars="0" w:left="0" w:right="0"/>
              <w:keepNext/>
            </w:pPr>
            <w:r>
              <w:t>115</w:t>
            </w:r>
          </w:p>
        </w:tc>
        <w:tc>
          <w:tcPr>
            <w:cnfStyle w:evenVBand="true" w:oddVBand="false" w:firstColumn="false"/>
            <w:tcW w:w="11.434303%" w:type="pct"/>
          </w:tcPr>
          <w:p>
            <w:pPr>
              <w:pStyle w:val="table-level-1"/>
              <w:ind w:leftChars="0" w:left="0" w:right="0"/>
              <w:keepNext/>
            </w:pPr>
            <w:r>
              <w:t>106</w:t>
            </w:r>
          </w:p>
        </w:tc>
        <w:tc>
          <w:tcPr>
            <w:cnfStyle w:evenVBand="false" w:oddVBand="true" w:firstColumn="false"/>
            <w:tcW w:w="11.434303%" w:type="pct"/>
          </w:tcPr>
          <w:p>
            <w:pPr>
              <w:pStyle w:val="table-level-1"/>
              <w:ind w:leftChars="0" w:left="0" w:right="0"/>
              <w:keepNext/>
            </w:pPr>
            <w:r>
              <w:t>100</w:t>
            </w:r>
          </w:p>
        </w:tc>
        <w:tc>
          <w:tcPr>
            <w:cnfStyle w:evenVBand="true" w:oddVBand="false" w:firstColumn="false"/>
            <w:tcW w:w="11.434303%" w:type="pct"/>
          </w:tcPr>
          <w:p>
            <w:pPr>
              <w:pStyle w:val="table-level-1"/>
              <w:ind w:leftChars="0" w:left="0" w:right="0"/>
              <w:keepNext/>
            </w:pPr>
            <w:r>
              <w:t>60</w:t>
            </w:r>
          </w:p>
        </w:tc>
        <w:tc>
          <w:tcPr>
            <w:cnfStyle w:evenVBand="false" w:oddVBand="true" w:firstColumn="false"/>
            <w:tcW w:w="11.434303%" w:type="pct"/>
          </w:tcPr>
          <w:p>
            <w:pPr>
              <w:pStyle w:val="table-level-1"/>
              <w:ind w:leftChars="0" w:left="0" w:right="0"/>
              <w:keepNext/>
            </w:pPr>
            <w:r>
              <w:t>50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Oneri diversi di gestione</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28</w:t>
            </w:r>
          </w:p>
        </w:tc>
        <w:tc>
          <w:tcPr>
            <w:cnfStyle w:evenVBand="true" w:oddVBand="false" w:firstColumn="false"/>
            <w:tcW w:w="11.434303%" w:type="pct"/>
          </w:tcPr>
          <w:p>
            <w:pPr>
              <w:pStyle w:val="table-level-0"/>
              <w:ind w:leftChars="0" w:left="0" w:right="0"/>
              <w:keepNext/>
            </w:pPr>
            <w:r>
              <w:t>26</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IMU</w:t>
            </w:r>
          </w:p>
        </w:tc>
        <w:tc>
          <w:tcPr>
            <w:cnfStyle w:evenVBand="true" w:oddVBand="false" w:firstColumn="false"/>
            <w:tcW w:w="11.434303%" w:type="pct"/>
          </w:tcPr>
          <w:p>
            <w:pPr>
              <w:pStyle w:val="table-level-0"/>
              <w:ind w:leftChars="0" w:left="0" w:right="0"/>
              <w:keepNext/>
            </w:pPr>
            <w:r>
              <w:t>30</w:t>
            </w:r>
          </w:p>
        </w:tc>
        <w:tc>
          <w:tcPr>
            <w:cnfStyle w:evenVBand="false" w:oddVBand="true" w:firstColumn="false"/>
            <w:tcW w:w="11.434303%" w:type="pct"/>
          </w:tcPr>
          <w:p>
            <w:pPr>
              <w:pStyle w:val="table-level-0"/>
              <w:ind w:leftChars="0" w:left="0" w:right="0"/>
              <w:keepNext/>
            </w:pPr>
            <w:r>
              <w:t>34</w:t>
            </w:r>
          </w:p>
        </w:tc>
        <w:tc>
          <w:tcPr>
            <w:cnfStyle w:evenVBand="true" w:oddVBand="false" w:firstColumn="false"/>
            <w:tcW w:w="11.434303%" w:type="pct"/>
          </w:tcPr>
          <w:p>
            <w:pPr>
              <w:pStyle w:val="table-level-0"/>
              <w:ind w:leftChars="0" w:left="0" w:right="0"/>
              <w:keepNext/>
            </w:pPr>
            <w:r>
              <w:t>31</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varie</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18</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Sopravvenienze passive</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32</w:t>
            </w:r>
          </w:p>
        </w:tc>
        <w:tc>
          <w:tcPr>
            <w:cnfStyle w:evenVBand="false" w:oddVBand="true" w:firstColumn="false"/>
            <w:tcW w:w="11.434303%" w:type="pct"/>
          </w:tcPr>
          <w:p>
            <w:pPr>
              <w:pStyle w:val="table-level-0"/>
              <w:ind w:leftChars="0" w:left="0" w:right="0"/>
              <w:keepNext/>
            </w:pPr>
            <w:r>
              <w:t>30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10</w:t>
            </w:r>
          </w:p>
        </w:tc>
      </w:tr>
    </w:tbl>
    <w:p>
      <w:pPr>
        <w:pStyle w:val="TableBottomMargin"/>
      </w:pPr>
    </w:p>
    <w:p>
      <w:pPr>
        <w:pStyle w:val="BodyText"/>
        <w:ind w:leftChars="0" w:left="0" w:right="0"/>
      </w:pPr>
      <w:r>
        <w:t xml:space="preserve">Dal prospetto si evince che al 31 dicembre 2022 il valore della voce </w:t>
      </w:r>
      <w:r>
        <w:rPr>
          <w:i/>
          <w:iCs/>
        </w:rPr>
        <w:t>Oneri di gestione</w:t>
      </w:r>
      <w:r>
        <w:t xml:space="preserve"> è pari a € 118.000 ed è in crescita del 3% rispetto al 31 dicembre 2021.</w:t>
      </w:r>
    </w:p>
    <w:p>
      <w:pPr>
        <w:pStyle w:val="BodyText"/>
        <w:ind w:leftChars="0" w:left="0" w:right="0"/>
      </w:pPr>
      <w:r>
        <w:t xml:space="preserve">Il grafico seguente mostra l’analisi dell’andamento della voce </w:t>
      </w:r>
      <w:r>
        <w:rPr>
          <w:i/>
          <w:iCs/>
        </w:rPr>
        <w:t>Oneri di gestione</w:t>
      </w:r>
      <w:r>
        <w:t xml:space="preserve"> dal 31 dicembre 2017 al 31 dicembre 2022. Nel periodo evidenziato, il valore medio è stato pari a € 91.500.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3" name="3f3e95a115f49e50feda58230c1ed040.png" descr="_static/temp/3f3e95a115f49e50feda58230c1ed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3f3e95a115f49e50feda58230c1ed040.png" descr="_static/temp/3f3e95a115f49e50feda58230c1ed040.png"/>
                    <pic:cNvPicPr>
                      <a:picLocks noChangeAspect="1" noChangeArrowheads="1"/>
                    </pic:cNvPicPr>
                  </pic:nvPicPr>
                  <pic:blipFill>
                    <a:blip xmlns:r="http://schemas.openxmlformats.org/officeDocument/2006/relationships" r:embed="rId10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Oneri di gestione</w:t>
      </w:r>
      <w:r>
        <w:t xml:space="preserve"> al 31 dicembre 2022, la componente più significativa è rappresentata dalla voce </w:t>
      </w:r>
      <w:r>
        <w:rPr>
          <w:i/>
          <w:iCs/>
        </w:rPr>
        <w:t>Sopravvenienze passive</w:t>
      </w:r>
      <w:r>
        <w:t xml:space="preserve"> con un valore pari a 38.000 €. Il grafico seguente visualizza la ripartizione di tutte le componenti della voce </w:t>
      </w:r>
      <w:r>
        <w:rPr>
          <w:i/>
          <w:iCs/>
        </w:rPr>
        <w:t>Oneri di gestione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4" name="e46767beaf77ca958bddc4b39e4e244a.png" descr="_static/temp/e46767beaf77ca958bddc4b39e4e24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e46767beaf77ca958bddc4b39e4e244a.png" descr="_static/temp/e46767beaf77ca958bddc4b39e4e244a.png"/>
                    <pic:cNvPicPr>
                      <a:picLocks noChangeAspect="1" noChangeArrowheads="1"/>
                    </pic:cNvPicPr>
                  </pic:nvPicPr>
                  <pic:blipFill>
                    <a:blip xmlns:r="http://schemas.openxmlformats.org/officeDocument/2006/relationships" r:embed="rId107"/>
                    <a:srcRect/>
                    <a:stretch>
                      <a:fillRect/>
                    </a:stretch>
                  </pic:blipFill>
                  <pic:spPr bwMode="auto">
                    <a:xfrm>
                      <a:off x="0" y="0"/>
                      <a:ext cx="6476365" cy="3266766"/>
                    </a:xfrm>
                    <a:prstGeom prst="rect">
                      <a:avLst/>
                    </a:prstGeom>
                    <a:noFill/>
                  </pic:spPr>
                </pic:pic>
              </a:graphicData>
            </a:graphic>
          </wp:inline>
        </w:drawing>
      </w:r>
    </w:p>
    <w:bookmarkEnd w:id="568"/>
    <w:bookmarkEnd w:id="569"/>
    <w:bookmarkEnd w:id="554"/>
    <w:bookmarkEnd w:id="555"/>
    <w:bookmarkStart w:id="570" w:name="_5e75f3e461d36c3f8f6b6cd9e0e62668"/>
    <w:bookmarkStart w:id="571" w:name="_60e0795f9b504537b805cbec55378a88"/>
    <w:p>
      <w:pPr>
        <w:pStyle w:val="Heading3"/>
        <w:keepNext/>
      </w:pPr>
      <w:r>
        <w:t>Ammortamenti e svalutazioni</w:t>
      </w:r>
    </w:p>
    <w:p>
      <w:pPr>
        <w:pStyle w:val="BodyText"/>
        <w:ind w:leftChars="0" w:left="0" w:right="0"/>
      </w:pPr>
      <w:r>
        <w:t xml:space="preserve">La presente sottosezione della </w:t>
      </w:r>
      <w:hyperlink w:anchor="_35393d0452d9eb2940c4cb6a28a38f1a">
        <w:r>
          <w:rPr>
            <w:rStyle w:val="Hyperlink"/>
          </w:rPr>
          <w:t>Gestione operativa</w:t>
        </w:r>
      </w:hyperlink>
      <w:r>
        <w:t xml:space="preserve"> è dedicata agli ammortamenti e alle svalutazioni operative. Questi rappresentano procedimenti contabili che consentono di registrare il consumo progressivo (ammortamenti) e la perdita durevole di valore (svalutazioni) di beni con utilità pluriennale o di crediti compresi nell’attivo circolante o di disponibilità liquide.</w:t>
      </w:r>
    </w:p>
    <w:p>
      <w:pPr>
        <w:pStyle w:val="BodyText"/>
        <w:ind w:leftChars="0" w:left="0" w:right="0"/>
      </w:pPr>
      <w:r>
        <w:t xml:space="preserve">Il prospetto seguente illustra il dettaglio analitico della voce </w:t>
      </w:r>
      <w:r>
        <w:rPr>
          <w:i/>
          <w:iCs/>
        </w:rPr>
        <w:t>Ammortamenti e svalutazioni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0e0795f9b504537b805cbec55378a88">
              <w:r>
                <w:rPr>
                  <w:rStyle w:val="Hyperlink"/>
                </w:rPr>
                <w:t>Ammortamenti e svalutazioni</w:t>
              </w:r>
            </w:hyperlink>
          </w:p>
        </w:tc>
        <w:tc>
          <w:tcPr>
            <w:cnfStyle w:evenVBand="true" w:oddVBand="false" w:firstColumn="false"/>
            <w:tcW w:w="11.434303%" w:type="pct"/>
          </w:tcPr>
          <w:p>
            <w:pPr>
              <w:pStyle w:val="table-level-1"/>
              <w:ind w:leftChars="0" w:left="0" w:right="0"/>
              <w:keepNext/>
            </w:pPr>
            <w:r>
              <w:t>405,4</w:t>
            </w:r>
          </w:p>
        </w:tc>
        <w:tc>
          <w:tcPr>
            <w:cnfStyle w:evenVBand="false" w:oddVBand="true" w:firstColumn="false"/>
            <w:tcW w:w="11.434303%" w:type="pct"/>
          </w:tcPr>
          <w:p>
            <w:pPr>
              <w:pStyle w:val="table-level-1"/>
              <w:ind w:leftChars="0" w:left="0" w:right="0"/>
              <w:keepNext/>
            </w:pPr>
            <w:r>
              <w:t>345,8</w:t>
            </w:r>
          </w:p>
        </w:tc>
        <w:tc>
          <w:tcPr>
            <w:cnfStyle w:evenVBand="true" w:oddVBand="false" w:firstColumn="false"/>
            <w:tcW w:w="11.434303%" w:type="pct"/>
          </w:tcPr>
          <w:p>
            <w:pPr>
              <w:pStyle w:val="table-level-1"/>
              <w:ind w:leftChars="0" w:left="0" w:right="0"/>
              <w:keepNext/>
            </w:pPr>
            <w:r>
              <w:t>274,7</w:t>
            </w:r>
          </w:p>
        </w:tc>
        <w:tc>
          <w:tcPr>
            <w:cnfStyle w:evenVBand="false" w:oddVBand="true" w:firstColumn="false"/>
            <w:tcW w:w="11.434303%" w:type="pct"/>
          </w:tcPr>
          <w:p>
            <w:pPr>
              <w:pStyle w:val="table-level-1"/>
              <w:ind w:leftChars="0" w:left="0" w:right="0"/>
              <w:keepNext/>
            </w:pPr>
            <w:r>
              <w:t>251,7</w:t>
            </w:r>
          </w:p>
        </w:tc>
        <w:tc>
          <w:tcPr>
            <w:cnfStyle w:evenVBand="true" w:oddVBand="false" w:firstColumn="false"/>
            <w:tcW w:w="11.434303%" w:type="pct"/>
          </w:tcPr>
          <w:p>
            <w:pPr>
              <w:pStyle w:val="table-level-1"/>
              <w:ind w:leftChars="0" w:left="0" w:right="0"/>
              <w:keepNext/>
            </w:pPr>
            <w:r>
              <w:t>214,7</w:t>
            </w:r>
          </w:p>
        </w:tc>
        <w:tc>
          <w:tcPr>
            <w:cnfStyle w:evenVBand="false" w:oddVBand="true" w:firstColumn="false"/>
            <w:tcW w:w="11.434303%" w:type="pct"/>
          </w:tcPr>
          <w:p>
            <w:pPr>
              <w:pStyle w:val="table-level-1"/>
              <w:ind w:leftChars="0" w:left="0" w:right="0"/>
              <w:keepNext/>
            </w:pPr>
            <w:r>
              <w:t>184,1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ab22a4aa44ee65d88c3f8c0dc702674">
              <w:r>
                <w:rPr>
                  <w:rStyle w:val="Hyperlink"/>
                </w:rPr>
                <w:t>Ammortamenti</w:t>
              </w:r>
            </w:hyperlink>
          </w:p>
        </w:tc>
        <w:tc>
          <w:tcPr>
            <w:cnfStyle w:evenVBand="true" w:oddVBand="false" w:firstColumn="false"/>
            <w:tcW w:w="11.434303%" w:type="pct"/>
          </w:tcPr>
          <w:p>
            <w:pPr>
              <w:pStyle w:val="table-level-0"/>
              <w:ind w:leftChars="0" w:left="0" w:right="0"/>
              <w:keepNext/>
            </w:pPr>
            <w:r>
              <w:t>403,4</w:t>
            </w:r>
          </w:p>
        </w:tc>
        <w:tc>
          <w:tcPr>
            <w:cnfStyle w:evenVBand="false" w:oddVBand="true" w:firstColumn="false"/>
            <w:tcW w:w="11.434303%" w:type="pct"/>
          </w:tcPr>
          <w:p>
            <w:pPr>
              <w:pStyle w:val="table-level-0"/>
              <w:ind w:leftChars="0" w:left="0" w:right="0"/>
              <w:keepNext/>
            </w:pPr>
            <w:r>
              <w:t>343,8</w:t>
            </w:r>
          </w:p>
        </w:tc>
        <w:tc>
          <w:tcPr>
            <w:cnfStyle w:evenVBand="true" w:oddVBand="false" w:firstColumn="false"/>
            <w:tcW w:w="11.434303%" w:type="pct"/>
          </w:tcPr>
          <w:p>
            <w:pPr>
              <w:pStyle w:val="table-level-0"/>
              <w:ind w:leftChars="0" w:left="0" w:right="0"/>
              <w:keepNext/>
            </w:pPr>
            <w:r>
              <w:t>273,2</w:t>
            </w:r>
          </w:p>
        </w:tc>
        <w:tc>
          <w:tcPr>
            <w:cnfStyle w:evenVBand="false" w:oddVBand="true" w:firstColumn="false"/>
            <w:tcW w:w="11.434303%" w:type="pct"/>
          </w:tcPr>
          <w:p>
            <w:pPr>
              <w:pStyle w:val="table-level-0"/>
              <w:ind w:leftChars="0" w:left="0" w:right="0"/>
              <w:keepNext/>
            </w:pPr>
            <w:r>
              <w:t>249,2</w:t>
            </w:r>
          </w:p>
        </w:tc>
        <w:tc>
          <w:tcPr>
            <w:cnfStyle w:evenVBand="true" w:oddVBand="false" w:firstColumn="false"/>
            <w:tcW w:w="11.434303%" w:type="pct"/>
          </w:tcPr>
          <w:p>
            <w:pPr>
              <w:pStyle w:val="table-level-0"/>
              <w:ind w:leftChars="0" w:left="0" w:right="0"/>
              <w:keepNext/>
            </w:pPr>
            <w:r>
              <w:t>211,2</w:t>
            </w:r>
          </w:p>
        </w:tc>
        <w:tc>
          <w:tcPr>
            <w:cnfStyle w:evenVBand="false" w:oddVBand="true" w:firstColumn="false"/>
            <w:tcW w:w="11.434303%" w:type="pct"/>
          </w:tcPr>
          <w:p>
            <w:pPr>
              <w:pStyle w:val="table-level-0"/>
              <w:ind w:leftChars="0" w:left="0" w:right="0"/>
              <w:keepNext/>
            </w:pPr>
            <w:r>
              <w:t>180,6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64bbf09fba80798327fabea461779ae6">
              <w:r>
                <w:rPr>
                  <w:rStyle w:val="Hyperlink"/>
                </w:rPr>
                <w:t>Svalutazioni immob. e crediti</w:t>
              </w:r>
            </w:hyperlink>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3,5</w:t>
            </w:r>
          </w:p>
        </w:tc>
      </w:tr>
    </w:tbl>
    <w:p>
      <w:pPr>
        <w:pStyle w:val="TableBottomMargin"/>
      </w:pPr>
    </w:p>
    <w:p>
      <w:pPr>
        <w:pStyle w:val="BodyText"/>
        <w:ind w:leftChars="0" w:left="0" w:right="0"/>
      </w:pPr>
      <w:r>
        <w:t xml:space="preserve">Dal prospetto si evince che al 31 dicembre 2022 il valore della voce </w:t>
      </w:r>
      <w:r>
        <w:rPr>
          <w:i/>
          <w:iCs/>
        </w:rPr>
        <w:t>Ammortamenti e svalutazioni</w:t>
      </w:r>
      <w:r>
        <w:t xml:space="preserve"> è pari a € 405.417 ed è in crescita del 17% rispetto al 31 dicembre 2021.</w:t>
      </w:r>
    </w:p>
    <w:bookmarkStart w:id="572" w:name="_d21688aeb90cf452ca91bb781514cc57"/>
    <w:bookmarkStart w:id="573" w:name="_7ab22a4aa44ee65d88c3f8c0dc702674"/>
    <w:p>
      <w:pPr>
        <w:pStyle w:val="Heading4"/>
        <w:keepNext/>
      </w:pPr>
      <w:r>
        <w:t>Ammortamenti</w:t>
      </w:r>
    </w:p>
    <w:p>
      <w:pPr>
        <w:pStyle w:val="BodyText"/>
        <w:ind w:leftChars="0" w:left="0" w:right="0"/>
      </w:pPr>
      <w:r>
        <w:t xml:space="preserve">La presente sottosezione degli </w:t>
      </w:r>
      <w:hyperlink w:anchor="_60e0795f9b504537b805cbec55378a88">
        <w:r>
          <w:rPr>
            <w:rStyle w:val="Hyperlink"/>
          </w:rPr>
          <w:t>Ammortamenti e alle svalutazioni operative</w:t>
        </w:r>
      </w:hyperlink>
      <w:r>
        <w:t xml:space="preserve"> è dedicata agli ammortamenti. Questi rappresentano il consumo progressivo di beni tangibili e intangibili, legati all’attività operativa, con utilità pluriennale.</w:t>
      </w:r>
    </w:p>
    <w:p>
      <w:pPr>
        <w:pStyle w:val="BodyText"/>
        <w:ind w:leftChars="0" w:left="0" w:right="0"/>
      </w:pPr>
      <w:r>
        <w:t xml:space="preserve">Il prospetto seguente illustra il dettaglio analitico della voce </w:t>
      </w:r>
      <w:r>
        <w:rPr>
          <w:i/>
          <w:iCs/>
        </w:rPr>
        <w:t>Ammortamenti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ab22a4aa44ee65d88c3f8c0dc702674">
              <w:r>
                <w:rPr>
                  <w:rStyle w:val="Hyperlink"/>
                </w:rPr>
                <w:t>Ammortamenti</w:t>
              </w:r>
            </w:hyperlink>
          </w:p>
        </w:tc>
        <w:tc>
          <w:tcPr>
            <w:cnfStyle w:evenVBand="true" w:oddVBand="false" w:firstColumn="false"/>
            <w:tcW w:w="11.434303%" w:type="pct"/>
          </w:tcPr>
          <w:p>
            <w:pPr>
              <w:pStyle w:val="table-level-1"/>
              <w:ind w:leftChars="0" w:left="0" w:right="0"/>
              <w:keepNext/>
            </w:pPr>
            <w:r>
              <w:t>403,4</w:t>
            </w:r>
          </w:p>
        </w:tc>
        <w:tc>
          <w:tcPr>
            <w:cnfStyle w:evenVBand="false" w:oddVBand="true" w:firstColumn="false"/>
            <w:tcW w:w="11.434303%" w:type="pct"/>
          </w:tcPr>
          <w:p>
            <w:pPr>
              <w:pStyle w:val="table-level-1"/>
              <w:ind w:leftChars="0" w:left="0" w:right="0"/>
              <w:keepNext/>
            </w:pPr>
            <w:r>
              <w:t>343,8</w:t>
            </w:r>
          </w:p>
        </w:tc>
        <w:tc>
          <w:tcPr>
            <w:cnfStyle w:evenVBand="true" w:oddVBand="false" w:firstColumn="false"/>
            <w:tcW w:w="11.434303%" w:type="pct"/>
          </w:tcPr>
          <w:p>
            <w:pPr>
              <w:pStyle w:val="table-level-1"/>
              <w:ind w:leftChars="0" w:left="0" w:right="0"/>
              <w:keepNext/>
            </w:pPr>
            <w:r>
              <w:t>273,2</w:t>
            </w:r>
          </w:p>
        </w:tc>
        <w:tc>
          <w:tcPr>
            <w:cnfStyle w:evenVBand="false" w:oddVBand="true" w:firstColumn="false"/>
            <w:tcW w:w="11.434303%" w:type="pct"/>
          </w:tcPr>
          <w:p>
            <w:pPr>
              <w:pStyle w:val="table-level-1"/>
              <w:ind w:leftChars="0" w:left="0" w:right="0"/>
              <w:keepNext/>
            </w:pPr>
            <w:r>
              <w:t>249,2</w:t>
            </w:r>
          </w:p>
        </w:tc>
        <w:tc>
          <w:tcPr>
            <w:cnfStyle w:evenVBand="true" w:oddVBand="false" w:firstColumn="false"/>
            <w:tcW w:w="11.434303%" w:type="pct"/>
          </w:tcPr>
          <w:p>
            <w:pPr>
              <w:pStyle w:val="table-level-1"/>
              <w:ind w:leftChars="0" w:left="0" w:right="0"/>
              <w:keepNext/>
            </w:pPr>
            <w:r>
              <w:t>211,2</w:t>
            </w:r>
          </w:p>
        </w:tc>
        <w:tc>
          <w:tcPr>
            <w:cnfStyle w:evenVBand="false" w:oddVBand="true" w:firstColumn="false"/>
            <w:tcW w:w="11.434303%" w:type="pct"/>
          </w:tcPr>
          <w:p>
            <w:pPr>
              <w:pStyle w:val="table-level-1"/>
              <w:ind w:leftChars="0" w:left="0" w:right="0"/>
              <w:keepNext/>
            </w:pPr>
            <w:r>
              <w:t>180,6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Ammortamenti immob. mat.</w:t>
            </w:r>
          </w:p>
        </w:tc>
        <w:tc>
          <w:tcPr>
            <w:cnfStyle w:evenVBand="true" w:oddVBand="false" w:firstColumn="false"/>
            <w:tcW w:w="11.434303%" w:type="pct"/>
          </w:tcPr>
          <w:p>
            <w:pPr>
              <w:pStyle w:val="table-level-0"/>
              <w:ind w:leftChars="0" w:left="0" w:right="0"/>
              <w:keepNext/>
            </w:pPr>
            <w:r>
              <w:t>363,5</w:t>
            </w:r>
          </w:p>
        </w:tc>
        <w:tc>
          <w:tcPr>
            <w:cnfStyle w:evenVBand="false" w:oddVBand="true" w:firstColumn="false"/>
            <w:tcW w:w="11.434303%" w:type="pct"/>
          </w:tcPr>
          <w:p>
            <w:pPr>
              <w:pStyle w:val="table-level-0"/>
              <w:ind w:leftChars="0" w:left="0" w:right="0"/>
              <w:keepNext/>
            </w:pPr>
            <w:r>
              <w:t>310,2</w:t>
            </w:r>
          </w:p>
        </w:tc>
        <w:tc>
          <w:tcPr>
            <w:cnfStyle w:evenVBand="true" w:oddVBand="false" w:firstColumn="false"/>
            <w:tcW w:w="11.434303%" w:type="pct"/>
          </w:tcPr>
          <w:p>
            <w:pPr>
              <w:pStyle w:val="table-level-0"/>
              <w:ind w:leftChars="0" w:left="0" w:right="0"/>
              <w:keepNext/>
            </w:pPr>
            <w:r>
              <w:t>243</w:t>
            </w:r>
          </w:p>
        </w:tc>
        <w:tc>
          <w:tcPr>
            <w:cnfStyle w:evenVBand="false" w:oddVBand="true" w:firstColumn="false"/>
            <w:tcW w:w="11.434303%" w:type="pct"/>
          </w:tcPr>
          <w:p>
            <w:pPr>
              <w:pStyle w:val="table-level-0"/>
              <w:ind w:leftChars="0" w:left="0" w:right="0"/>
              <w:keepNext/>
            </w:pPr>
            <w:r>
              <w:t>225,2</w:t>
            </w:r>
          </w:p>
        </w:tc>
        <w:tc>
          <w:tcPr>
            <w:cnfStyle w:evenVBand="true" w:oddVBand="false" w:firstColumn="false"/>
            <w:tcW w:w="11.434303%" w:type="pct"/>
          </w:tcPr>
          <w:p>
            <w:pPr>
              <w:pStyle w:val="table-level-0"/>
              <w:ind w:leftChars="0" w:left="0" w:right="0"/>
              <w:keepNext/>
            </w:pPr>
            <w:r>
              <w:t>189,2</w:t>
            </w:r>
          </w:p>
        </w:tc>
        <w:tc>
          <w:tcPr>
            <w:cnfStyle w:evenVBand="false" w:oddVBand="true" w:firstColumn="false"/>
            <w:tcW w:w="11.434303%" w:type="pct"/>
          </w:tcPr>
          <w:p>
            <w:pPr>
              <w:pStyle w:val="table-level-0"/>
              <w:ind w:leftChars="0" w:left="0" w:right="0"/>
              <w:keepNext/>
            </w:pPr>
            <w:r>
              <w:t>159,4</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Ammortamenti immob. immat.</w:t>
            </w:r>
          </w:p>
        </w:tc>
        <w:tc>
          <w:tcPr>
            <w:cnfStyle w:evenVBand="true" w:oddVBand="false" w:firstColumn="false"/>
            <w:tcW w:w="11.434303%" w:type="pct"/>
          </w:tcPr>
          <w:p>
            <w:pPr>
              <w:pStyle w:val="table-level-0"/>
              <w:ind w:leftChars="0" w:left="0" w:right="0"/>
              <w:keepNext/>
            </w:pPr>
            <w:r>
              <w:t>40</w:t>
            </w:r>
          </w:p>
        </w:tc>
        <w:tc>
          <w:tcPr>
            <w:cnfStyle w:evenVBand="false" w:oddVBand="true" w:firstColumn="false"/>
            <w:tcW w:w="11.434303%" w:type="pct"/>
          </w:tcPr>
          <w:p>
            <w:pPr>
              <w:pStyle w:val="table-level-0"/>
              <w:ind w:leftChars="0" w:left="0" w:right="0"/>
              <w:keepNext/>
            </w:pPr>
            <w:r>
              <w:t>33,5</w:t>
            </w:r>
          </w:p>
        </w:tc>
        <w:tc>
          <w:tcPr>
            <w:cnfStyle w:evenVBand="true" w:oddVBand="false" w:firstColumn="false"/>
            <w:tcW w:w="11.434303%" w:type="pct"/>
          </w:tcPr>
          <w:p>
            <w:pPr>
              <w:pStyle w:val="table-level-0"/>
              <w:ind w:leftChars="0" w:left="0" w:right="0"/>
              <w:keepNext/>
            </w:pPr>
            <w:r>
              <w:t>30,2</w:t>
            </w:r>
          </w:p>
        </w:tc>
        <w:tc>
          <w:tcPr>
            <w:cnfStyle w:evenVBand="false" w:oddVBand="true" w:firstColumn="false"/>
            <w:tcW w:w="11.434303%" w:type="pct"/>
          </w:tcPr>
          <w:p>
            <w:pPr>
              <w:pStyle w:val="table-level-0"/>
              <w:ind w:leftChars="0" w:left="0" w:right="0"/>
              <w:keepNext/>
            </w:pPr>
            <w:r>
              <w:t>24</w:t>
            </w:r>
          </w:p>
        </w:tc>
        <w:tc>
          <w:tcPr>
            <w:cnfStyle w:evenVBand="true" w:oddVBand="false" w:firstColumn="false"/>
            <w:tcW w:w="11.434303%" w:type="pct"/>
          </w:tcPr>
          <w:p>
            <w:pPr>
              <w:pStyle w:val="table-level-0"/>
              <w:ind w:leftChars="0" w:left="0" w:right="0"/>
              <w:keepNext/>
            </w:pPr>
            <w:r>
              <w:t>22</w:t>
            </w:r>
          </w:p>
        </w:tc>
        <w:tc>
          <w:tcPr>
            <w:cnfStyle w:evenVBand="false" w:oddVBand="true" w:firstColumn="false"/>
            <w:tcW w:w="11.434303%" w:type="pct"/>
          </w:tcPr>
          <w:p>
            <w:pPr>
              <w:pStyle w:val="table-level-0"/>
              <w:ind w:leftChars="0" w:left="0" w:right="0"/>
              <w:keepNext/>
            </w:pPr>
            <w:r>
              <w:t>21,2</w:t>
            </w:r>
          </w:p>
        </w:tc>
      </w:tr>
    </w:tbl>
    <w:p>
      <w:pPr>
        <w:pStyle w:val="TableBottomMargin"/>
      </w:pPr>
    </w:p>
    <w:p>
      <w:pPr>
        <w:pStyle w:val="BodyText"/>
        <w:ind w:leftChars="0" w:left="0" w:right="0"/>
      </w:pPr>
      <w:r>
        <w:t xml:space="preserve">Dal prospetto si evince che al 31 dicembre 2022 il valore della voce </w:t>
      </w:r>
      <w:r>
        <w:rPr>
          <w:i/>
          <w:iCs/>
        </w:rPr>
        <w:t>Ammortamenti</w:t>
      </w:r>
      <w:r>
        <w:t xml:space="preserve"> è pari a € 403.417 ed è in crescita del 17% rispetto al 31 dicembre 2021.</w:t>
      </w:r>
    </w:p>
    <w:p>
      <w:pPr>
        <w:pStyle w:val="BodyText"/>
        <w:ind w:leftChars="0" w:left="0" w:right="0"/>
      </w:pPr>
      <w:r>
        <w:t xml:space="preserve">Il grafico seguente mostra l’analisi dell’andamento della voce </w:t>
      </w:r>
      <w:r>
        <w:rPr>
          <w:i/>
          <w:iCs/>
        </w:rPr>
        <w:t>Ammortamenti</w:t>
      </w:r>
      <w:r>
        <w:t xml:space="preserve"> dal 31 dicembre 2017 al 31 dicembre 2022. Nel periodo evidenziato, il valore medio è stato pari a € 276.903.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5" name="2d7f0294aa1800879c42ce536d5b647e.png" descr="_static/temp/2d7f0294aa1800879c42ce536d5b64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d7f0294aa1800879c42ce536d5b647e.png" descr="_static/temp/2d7f0294aa1800879c42ce536d5b647e.png"/>
                    <pic:cNvPicPr>
                      <a:picLocks noChangeAspect="1" noChangeArrowheads="1"/>
                    </pic:cNvPicPr>
                  </pic:nvPicPr>
                  <pic:blipFill>
                    <a:blip xmlns:r="http://schemas.openxmlformats.org/officeDocument/2006/relationships" r:embed="rId10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Ammortamenti</w:t>
      </w:r>
      <w:r>
        <w:t xml:space="preserve"> al 31 dicembre 2022, la componente più significativa è rappresentata dalla voce </w:t>
      </w:r>
      <w:r>
        <w:rPr>
          <w:i/>
          <w:iCs/>
        </w:rPr>
        <w:t>Ammortamenti delle immobilizzazioni materiali</w:t>
      </w:r>
      <w:r>
        <w:t xml:space="preserve"> con un valore pari a 363.457 €. Il grafico seguente visualizza la ripartizione di tutte le componenti della voce </w:t>
      </w:r>
      <w:r>
        <w:rPr>
          <w:i/>
          <w:iCs/>
        </w:rPr>
        <w:t>Ammortamenti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6" name="bf3db9c9fd92086e61a453d104c87e2b.png" descr="_static/temp/bf3db9c9fd92086e61a453d104c87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bf3db9c9fd92086e61a453d104c87e2b.png" descr="_static/temp/bf3db9c9fd92086e61a453d104c87e2b.png"/>
                    <pic:cNvPicPr>
                      <a:picLocks noChangeAspect="1" noChangeArrowheads="1"/>
                    </pic:cNvPicPr>
                  </pic:nvPicPr>
                  <pic:blipFill>
                    <a:blip xmlns:r="http://schemas.openxmlformats.org/officeDocument/2006/relationships" r:embed="rId109"/>
                    <a:srcRect/>
                    <a:stretch>
                      <a:fillRect/>
                    </a:stretch>
                  </pic:blipFill>
                  <pic:spPr bwMode="auto">
                    <a:xfrm>
                      <a:off x="0" y="0"/>
                      <a:ext cx="6476365" cy="3266766"/>
                    </a:xfrm>
                    <a:prstGeom prst="rect">
                      <a:avLst/>
                    </a:prstGeom>
                    <a:noFill/>
                  </pic:spPr>
                </pic:pic>
              </a:graphicData>
            </a:graphic>
          </wp:inline>
        </w:drawing>
      </w:r>
    </w:p>
    <w:bookmarkEnd w:id="572"/>
    <w:bookmarkEnd w:id="573"/>
    <w:bookmarkStart w:id="574" w:name="_cb2175c2da0dde64cff649f55cdaf3f6"/>
    <w:bookmarkStart w:id="575" w:name="_64bbf09fba80798327fabea461779ae6"/>
    <w:p>
      <w:pPr>
        <w:pStyle w:val="Heading4"/>
        <w:keepNext/>
      </w:pPr>
      <w:r>
        <w:t>Svalutazioni di immobilizzazioni e crediti compresi nell’attivo circolante</w:t>
      </w:r>
    </w:p>
    <w:p>
      <w:pPr>
        <w:pStyle w:val="BodyText"/>
        <w:ind w:leftChars="0" w:left="0" w:right="0"/>
      </w:pPr>
      <w:r>
        <w:t xml:space="preserve">La presente sottosezione degli </w:t>
      </w:r>
      <w:hyperlink w:anchor="_60e0795f9b504537b805cbec55378a88">
        <w:r>
          <w:rPr>
            <w:rStyle w:val="Hyperlink"/>
          </w:rPr>
          <w:t>Ammortamenti e delle svalutazioni operative</w:t>
        </w:r>
      </w:hyperlink>
      <w:r>
        <w:t xml:space="preserve"> è dedicata alle svalutazioni di immobilizzazioni e crediti compresi nell’attivo circolante. Questi rappresentano procedimenti contabili che consentono di registrare la perdita durevole di valore di beni con utilità pluriennale o di crediti compresi nell’attivo circolante o di disponibilità liquide.</w:t>
      </w:r>
    </w:p>
    <w:p>
      <w:pPr>
        <w:pStyle w:val="BodyText"/>
        <w:ind w:leftChars="0" w:left="0" w:right="0"/>
      </w:pPr>
      <w:r>
        <w:t xml:space="preserve">Il prospetto seguente illustra il dettaglio analitico della voce </w:t>
      </w:r>
      <w:r>
        <w:rPr>
          <w:i/>
          <w:iCs/>
        </w:rPr>
        <w:t>Svalutazioni di immobilizzazioni e crediti compresi nell’attivo circolante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4bbf09fba80798327fabea461779ae6">
              <w:r>
                <w:rPr>
                  <w:rStyle w:val="Hyperlink"/>
                </w:rPr>
                <w:t>Svalutazioni immob. e crediti</w:t>
              </w:r>
            </w:hyperlink>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1,5</w:t>
            </w:r>
          </w:p>
        </w:tc>
        <w:tc>
          <w:tcPr>
            <w:cnfStyle w:evenVBand="false" w:oddVBand="true" w:firstColumn="false"/>
            <w:tcW w:w="11.434303%" w:type="pct"/>
          </w:tcPr>
          <w:p>
            <w:pPr>
              <w:pStyle w:val="table-level-1"/>
              <w:ind w:leftChars="0" w:left="0" w:right="0"/>
              <w:keepNext/>
            </w:pPr>
            <w:r>
              <w:t>2,5</w:t>
            </w:r>
          </w:p>
        </w:tc>
        <w:tc>
          <w:tcPr>
            <w:cnfStyle w:evenVBand="true" w:oddVBand="false" w:firstColumn="false"/>
            <w:tcW w:w="11.434303%" w:type="pct"/>
          </w:tcPr>
          <w:p>
            <w:pPr>
              <w:pStyle w:val="table-level-1"/>
              <w:ind w:leftChars="0" w:left="0" w:right="0"/>
              <w:keepNext/>
            </w:pPr>
            <w:r>
              <w:t>3,5</w:t>
            </w:r>
          </w:p>
        </w:tc>
        <w:tc>
          <w:tcPr>
            <w:cnfStyle w:evenVBand="false" w:oddVBand="true" w:firstColumn="false"/>
            <w:tcW w:w="11.434303%" w:type="pct"/>
          </w:tcPr>
          <w:p>
            <w:pPr>
              <w:pStyle w:val="table-level-1"/>
              <w:ind w:leftChars="0" w:left="0" w:right="0"/>
              <w:keepNext/>
            </w:pPr>
            <w:r>
              <w:t>3,5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Svalutazioni nell’attivo circolante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Svalutazioni di immobilizzazioni</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1,5</w:t>
            </w:r>
          </w:p>
        </w:tc>
      </w:tr>
    </w:tbl>
    <w:p>
      <w:pPr>
        <w:pStyle w:val="TableBottomMargin"/>
      </w:pPr>
    </w:p>
    <w:p>
      <w:pPr>
        <w:pStyle w:val="BodyText"/>
        <w:ind w:leftChars="0" w:left="0" w:right="0"/>
      </w:pPr>
      <w:r>
        <w:t xml:space="preserve">Dal prospetto si evince che al 31 dicembre 2022 il valore della voce </w:t>
      </w:r>
      <w:r>
        <w:rPr>
          <w:i/>
          <w:iCs/>
        </w:rPr>
        <w:t>Svalutazioni di immobilizzazioni e crediti compresi nell’attivo circolante</w:t>
      </w:r>
      <w:r>
        <w:t xml:space="preserve"> è pari a € 2.000 ed è stabile rispetto al 31 dicembre 2021.</w:t>
      </w:r>
    </w:p>
    <w:p>
      <w:pPr>
        <w:pStyle w:val="BodyText"/>
        <w:ind w:leftChars="0" w:left="0" w:right="0"/>
      </w:pPr>
      <w:r>
        <w:t xml:space="preserve">Il grafico seguente mostra l’analisi dell’andamento della voce </w:t>
      </w:r>
      <w:r>
        <w:rPr>
          <w:i/>
          <w:iCs/>
        </w:rPr>
        <w:t>Svalutazioni di immobilizzazioni e crediti compresi nell’attivo circolante</w:t>
      </w:r>
      <w:r>
        <w:t xml:space="preserve"> dal 31 dicembre 2017 al 31 dicembre 2022. Nel periodo evidenziato, il valore medio è stato pari a € 2.500.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7" name="1c6567698dccb6a7d9ab89868b1f4e6a.png" descr="_static/temp/1c6567698dccb6a7d9ab89868b1f4e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c6567698dccb6a7d9ab89868b1f4e6a.png" descr="_static/temp/1c6567698dccb6a7d9ab89868b1f4e6a.png"/>
                    <pic:cNvPicPr>
                      <a:picLocks noChangeAspect="1" noChangeArrowheads="1"/>
                    </pic:cNvPicPr>
                  </pic:nvPicPr>
                  <pic:blipFill>
                    <a:blip xmlns:r="http://schemas.openxmlformats.org/officeDocument/2006/relationships" r:embed="rId110"/>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Svalutazioni di immobilizzazioni e crediti compresi nell’attivo circolante</w:t>
      </w:r>
      <w:r>
        <w:t xml:space="preserve"> al 31 dicembre 2022, la componente più significativa è rappresentata dalla voce </w:t>
      </w:r>
      <w:r>
        <w:rPr>
          <w:i/>
          <w:iCs/>
        </w:rPr>
        <w:t>Altre svalutazioni delle immobilizzazioni</w:t>
      </w:r>
      <w:r>
        <w:t xml:space="preserve"> con un valore pari a 2.000 €. Il grafico seguente visualizza la ripartizione di tutte le componenti della voce </w:t>
      </w:r>
      <w:r>
        <w:rPr>
          <w:i/>
          <w:iCs/>
        </w:rPr>
        <w:t>Svalutazioni di immobilizzazioni e crediti compresi nell’attivo circolante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8" name="8e40afecc65c284eff56db5b80a38123.png" descr="_static/temp/8e40afecc65c284eff56db5b80a38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8e40afecc65c284eff56db5b80a38123.png" descr="_static/temp/8e40afecc65c284eff56db5b80a38123.png"/>
                    <pic:cNvPicPr>
                      <a:picLocks noChangeAspect="1" noChangeArrowheads="1"/>
                    </pic:cNvPicPr>
                  </pic:nvPicPr>
                  <pic:blipFill>
                    <a:blip xmlns:r="http://schemas.openxmlformats.org/officeDocument/2006/relationships" r:embed="rId111"/>
                    <a:srcRect/>
                    <a:stretch>
                      <a:fillRect/>
                    </a:stretch>
                  </pic:blipFill>
                  <pic:spPr bwMode="auto">
                    <a:xfrm>
                      <a:off x="0" y="0"/>
                      <a:ext cx="6476365" cy="3266766"/>
                    </a:xfrm>
                    <a:prstGeom prst="rect">
                      <a:avLst/>
                    </a:prstGeom>
                    <a:noFill/>
                  </pic:spPr>
                </pic:pic>
              </a:graphicData>
            </a:graphic>
          </wp:inline>
        </w:drawing>
      </w:r>
    </w:p>
    <w:br w:type="page"/>
    <w:bookmarkEnd w:id="574"/>
    <w:bookmarkEnd w:id="575"/>
    <w:bookmarkEnd w:id="570"/>
    <w:bookmarkEnd w:id="571"/>
    <w:bookmarkEnd w:id="546"/>
    <w:bookmarkEnd w:id="547"/>
    <w:bookmarkStart w:id="576" w:name="_743a721d27d96b9d56bb13565a334fd3"/>
    <w:bookmarkStart w:id="577" w:name="_bd0b1e737cd62cf730c4ec82ce7d1c9a"/>
    <w:p>
      <w:pPr>
        <w:pStyle w:val="Heading2"/>
        <w:keepNext/>
      </w:pPr>
      <w:r>
        <w:t>Gestione finanziaria</w:t>
      </w:r>
    </w:p>
    <w:p>
      <w:pPr>
        <w:pStyle w:val="BodyText"/>
        <w:ind w:leftChars="0" w:left="0" w:right="0"/>
      </w:pPr>
      <w:r>
        <w:t xml:space="preserve">La presente sottosezione del </w:t>
      </w:r>
      <w:hyperlink w:anchor="_2facdeaf2d2be050e60a4484776d93df">
        <w:r>
          <w:rPr>
            <w:rStyle w:val="Hyperlink"/>
          </w:rPr>
          <w:t>Conto economico</w:t>
        </w:r>
      </w:hyperlink>
      <w:r>
        <w:t xml:space="preserve"> è dedicata alla Gestione finanziaria. Questa rappresenta l’area cui sono riconducibili proventi e oneri dell’attività finanziaria.</w:t>
      </w:r>
    </w:p>
    <w:p>
      <w:pPr>
        <w:pStyle w:val="BodyText"/>
        <w:ind w:leftChars="0" w:left="0" w:right="0"/>
      </w:pPr>
      <w:r>
        <w:t xml:space="preserve">Il prospetto seguente illustra il dettaglio analitico delle determinanti della voce </w:t>
      </w:r>
      <w:r>
        <w:rPr>
          <w:i/>
          <w:iCs/>
        </w:rPr>
        <w:t>Reddito ante imposte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hyperlink w:anchor="_35393d0452d9eb2940c4cb6a28a38f1a">
              <w:r>
                <w:rPr>
                  <w:rStyle w:val="Hyperlink"/>
                </w:rPr>
                <w:t>Reddito operativo</w:t>
              </w:r>
            </w:hyperlink>
          </w:p>
        </w:tc>
        <w:tc>
          <w:tcPr>
            <w:cnfStyle w:evenVBand="true" w:oddVBand="false" w:firstColumn="false"/>
            <w:tcW w:w="11.434303%" w:type="pct"/>
          </w:tcPr>
          <w:p>
            <w:pPr>
              <w:pStyle w:val="table-level-300"/>
              <w:ind w:leftChars="0" w:left="0" w:right="0"/>
              <w:keepNext/>
            </w:pPr>
            <w:r>
              <w:t>1.168</w:t>
            </w:r>
          </w:p>
        </w:tc>
        <w:tc>
          <w:tcPr>
            <w:cnfStyle w:evenVBand="false" w:oddVBand="true" w:firstColumn="false"/>
            <w:tcW w:w="11.434303%" w:type="pct"/>
          </w:tcPr>
          <w:p>
            <w:pPr>
              <w:pStyle w:val="table-level-300"/>
              <w:ind w:leftChars="0" w:left="0" w:right="0"/>
              <w:keepNext/>
            </w:pPr>
            <w:r>
              <w:t>1.400</w:t>
            </w:r>
          </w:p>
        </w:tc>
        <w:tc>
          <w:tcPr>
            <w:cnfStyle w:evenVBand="true" w:oddVBand="false" w:firstColumn="false"/>
            <w:tcW w:w="11.434303%" w:type="pct"/>
          </w:tcPr>
          <w:p>
            <w:pPr>
              <w:pStyle w:val="table-level-300"/>
              <w:ind w:leftChars="0" w:left="0" w:right="0"/>
              <w:keepNext/>
            </w:pPr>
            <w:r>
              <w:t>1.497</w:t>
            </w:r>
          </w:p>
        </w:tc>
        <w:tc>
          <w:tcPr>
            <w:cnfStyle w:evenVBand="false" w:oddVBand="true" w:firstColumn="false"/>
            <w:tcW w:w="11.434303%" w:type="pct"/>
          </w:tcPr>
          <w:p>
            <w:pPr>
              <w:pStyle w:val="table-level-300"/>
              <w:ind w:leftChars="0" w:left="0" w:right="0"/>
              <w:keepNext/>
            </w:pPr>
            <w:r>
              <w:t>1.204</w:t>
            </w:r>
          </w:p>
        </w:tc>
        <w:tc>
          <w:tcPr>
            <w:cnfStyle w:evenVBand="true" w:oddVBand="false" w:firstColumn="false"/>
            <w:tcW w:w="11.434303%" w:type="pct"/>
          </w:tcPr>
          <w:p>
            <w:pPr>
              <w:pStyle w:val="table-level-300"/>
              <w:ind w:leftChars="0" w:left="0" w:right="0"/>
              <w:keepNext/>
            </w:pPr>
            <w:r>
              <w:t>673,6</w:t>
            </w:r>
          </w:p>
        </w:tc>
        <w:tc>
          <w:tcPr>
            <w:cnfStyle w:evenVBand="false" w:oddVBand="true" w:firstColumn="false"/>
            <w:tcW w:w="11.434303%" w:type="pct"/>
          </w:tcPr>
          <w:p>
            <w:pPr>
              <w:pStyle w:val="table-level-300"/>
              <w:ind w:leftChars="0" w:left="0" w:right="0"/>
              <w:keepNext/>
            </w:pPr>
            <w:r>
              <w:t>901,8</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Proventi/oneri finanziari</w:t>
            </w:r>
          </w:p>
        </w:tc>
        <w:tc>
          <w:tcPr>
            <w:cnfStyle w:evenVBand="true" w:oddVBand="false" w:firstColumn="false"/>
            <w:tcW w:w="11.434303%" w:type="pct"/>
          </w:tcPr>
          <w:p>
            <w:pPr>
              <w:pStyle w:val="table-level-1"/>
              <w:ind w:leftChars="0" w:left="0" w:right="0"/>
              <w:keepNext/>
            </w:pPr>
            <w:r>
              <w:t>-218,6</w:t>
            </w:r>
          </w:p>
        </w:tc>
        <w:tc>
          <w:tcPr>
            <w:cnfStyle w:evenVBand="false" w:oddVBand="true" w:firstColumn="false"/>
            <w:tcW w:w="11.434303%" w:type="pct"/>
          </w:tcPr>
          <w:p>
            <w:pPr>
              <w:pStyle w:val="table-level-1"/>
              <w:ind w:leftChars="0" w:left="0" w:right="0"/>
              <w:keepNext/>
            </w:pPr>
            <w:r>
              <w:t>-205,7</w:t>
            </w:r>
          </w:p>
        </w:tc>
        <w:tc>
          <w:tcPr>
            <w:cnfStyle w:evenVBand="true" w:oddVBand="false" w:firstColumn="false"/>
            <w:tcW w:w="11.434303%" w:type="pct"/>
          </w:tcPr>
          <w:p>
            <w:pPr>
              <w:pStyle w:val="table-level-1"/>
              <w:ind w:leftChars="0" w:left="0" w:right="0"/>
              <w:keepNext/>
            </w:pPr>
            <w:r>
              <w:t>-197,4</w:t>
            </w:r>
          </w:p>
        </w:tc>
        <w:tc>
          <w:tcPr>
            <w:cnfStyle w:evenVBand="false" w:oddVBand="true" w:firstColumn="false"/>
            <w:tcW w:w="11.434303%" w:type="pct"/>
          </w:tcPr>
          <w:p>
            <w:pPr>
              <w:pStyle w:val="table-level-1"/>
              <w:ind w:leftChars="0" w:left="0" w:right="0"/>
              <w:keepNext/>
            </w:pPr>
            <w:r>
              <w:t>-193,8</w:t>
            </w:r>
          </w:p>
        </w:tc>
        <w:tc>
          <w:tcPr>
            <w:cnfStyle w:evenVBand="true" w:oddVBand="false" w:firstColumn="false"/>
            <w:tcW w:w="11.434303%" w:type="pct"/>
          </w:tcPr>
          <w:p>
            <w:pPr>
              <w:pStyle w:val="table-level-1"/>
              <w:ind w:leftChars="0" w:left="0" w:right="0"/>
              <w:keepNext/>
            </w:pPr>
            <w:r>
              <w:t>-180</w:t>
            </w:r>
          </w:p>
        </w:tc>
        <w:tc>
          <w:tcPr>
            <w:cnfStyle w:evenVBand="false" w:oddVBand="true" w:firstColumn="false"/>
            <w:tcW w:w="11.434303%" w:type="pct"/>
          </w:tcPr>
          <w:p>
            <w:pPr>
              <w:pStyle w:val="table-level-1"/>
              <w:ind w:leftChars="0" w:left="0" w:right="0"/>
              <w:keepNext/>
            </w:pPr>
            <w:r>
              <w:t>-167,2</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8d641bd68512920159375a8042dce5c2">
              <w:r>
                <w:rPr>
                  <w:rStyle w:val="Hyperlink"/>
                </w:rPr>
                <w:t>Proventi finanziari</w:t>
              </w:r>
            </w:hyperlink>
          </w:p>
        </w:tc>
        <w:tc>
          <w:tcPr>
            <w:cnfStyle w:evenVBand="true" w:oddVBand="false" w:firstColumn="false"/>
            <w:tcW w:w="11.434303%" w:type="pct"/>
          </w:tcPr>
          <w:p>
            <w:pPr>
              <w:pStyle w:val="table-level-0"/>
              <w:ind w:leftChars="0" w:left="0" w:right="0"/>
              <w:keepNext/>
            </w:pPr>
            <w:r>
              <w:t>11</w:t>
            </w:r>
          </w:p>
        </w:tc>
        <w:tc>
          <w:tcPr>
            <w:cnfStyle w:evenVBand="false" w:oddVBand="true" w:firstColumn="false"/>
            <w:tcW w:w="11.434303%" w:type="pct"/>
          </w:tcPr>
          <w:p>
            <w:pPr>
              <w:pStyle w:val="table-level-0"/>
              <w:ind w:leftChars="0" w:left="0" w:right="0"/>
              <w:keepNext/>
            </w:pPr>
            <w:r>
              <w:t>13,3</w:t>
            </w:r>
          </w:p>
        </w:tc>
        <w:tc>
          <w:tcPr>
            <w:cnfStyle w:evenVBand="true" w:oddVBand="false" w:firstColumn="false"/>
            <w:tcW w:w="11.434303%" w:type="pct"/>
          </w:tcPr>
          <w:p>
            <w:pPr>
              <w:pStyle w:val="table-level-0"/>
              <w:ind w:leftChars="0" w:left="0" w:right="0"/>
              <w:keepNext/>
            </w:pPr>
            <w:r>
              <w:t>11,5</w:t>
            </w:r>
          </w:p>
        </w:tc>
        <w:tc>
          <w:tcPr>
            <w:cnfStyle w:evenVBand="false" w:oddVBand="true" w:firstColumn="false"/>
            <w:tcW w:w="11.434303%" w:type="pct"/>
          </w:tcPr>
          <w:p>
            <w:pPr>
              <w:pStyle w:val="table-level-0"/>
              <w:ind w:leftChars="0" w:left="0" w:right="0"/>
              <w:keepNext/>
            </w:pPr>
            <w:r>
              <w:t>10,2</w:t>
            </w:r>
          </w:p>
        </w:tc>
        <w:tc>
          <w:tcPr>
            <w:cnfStyle w:evenVBand="true" w:oddVBand="false" w:firstColumn="false"/>
            <w:tcW w:w="11.434303%" w:type="pct"/>
          </w:tcPr>
          <w:p>
            <w:pPr>
              <w:pStyle w:val="table-level-0"/>
              <w:ind w:leftChars="0" w:left="0" w:right="0"/>
              <w:keepNext/>
            </w:pPr>
            <w:r>
              <w:t>15,2</w:t>
            </w:r>
          </w:p>
        </w:tc>
        <w:tc>
          <w:tcPr>
            <w:cnfStyle w:evenVBand="false" w:oddVBand="true" w:firstColumn="false"/>
            <w:tcW w:w="11.434303%" w:type="pct"/>
          </w:tcPr>
          <w:p>
            <w:pPr>
              <w:pStyle w:val="table-level-0"/>
              <w:ind w:leftChars="0" w:left="0" w:right="0"/>
              <w:keepNext/>
            </w:pPr>
            <w:r>
              <w:t>20,2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bcbd8c75aba5e984a22dafd11e50d247">
              <w:r>
                <w:rPr>
                  <w:rStyle w:val="Hyperlink"/>
                </w:rPr>
                <w:t>Oneri finanziari</w:t>
              </w:r>
            </w:hyperlink>
          </w:p>
        </w:tc>
        <w:tc>
          <w:tcPr>
            <w:cnfStyle w:evenVBand="true" w:oddVBand="false" w:firstColumn="false"/>
            <w:tcW w:w="11.434303%" w:type="pct"/>
          </w:tcPr>
          <w:p>
            <w:pPr>
              <w:pStyle w:val="table-level-0"/>
              <w:ind w:leftChars="0" w:left="0" w:right="0"/>
              <w:keepNext/>
            </w:pPr>
            <w:r>
              <w:t>-234,8</w:t>
            </w:r>
          </w:p>
        </w:tc>
        <w:tc>
          <w:tcPr>
            <w:cnfStyle w:evenVBand="false" w:oddVBand="true" w:firstColumn="false"/>
            <w:tcW w:w="11.434303%" w:type="pct"/>
          </w:tcPr>
          <w:p>
            <w:pPr>
              <w:pStyle w:val="table-level-0"/>
              <w:ind w:leftChars="0" w:left="0" w:right="0"/>
              <w:keepNext/>
            </w:pPr>
            <w:r>
              <w:t>-220,7</w:t>
            </w:r>
          </w:p>
        </w:tc>
        <w:tc>
          <w:tcPr>
            <w:cnfStyle w:evenVBand="true" w:oddVBand="false" w:firstColumn="false"/>
            <w:tcW w:w="11.434303%" w:type="pct"/>
          </w:tcPr>
          <w:p>
            <w:pPr>
              <w:pStyle w:val="table-level-0"/>
              <w:ind w:leftChars="0" w:left="0" w:right="0"/>
              <w:keepNext/>
            </w:pPr>
            <w:r>
              <w:t>-210,5</w:t>
            </w:r>
          </w:p>
        </w:tc>
        <w:tc>
          <w:tcPr>
            <w:cnfStyle w:evenVBand="false" w:oddVBand="true" w:firstColumn="false"/>
            <w:tcW w:w="11.434303%" w:type="pct"/>
          </w:tcPr>
          <w:p>
            <w:pPr>
              <w:pStyle w:val="table-level-0"/>
              <w:ind w:leftChars="0" w:left="0" w:right="0"/>
              <w:keepNext/>
            </w:pPr>
            <w:r>
              <w:t>-205,5</w:t>
            </w:r>
          </w:p>
        </w:tc>
        <w:tc>
          <w:tcPr>
            <w:cnfStyle w:evenVBand="true" w:oddVBand="false" w:firstColumn="false"/>
            <w:tcW w:w="11.434303%" w:type="pct"/>
          </w:tcPr>
          <w:p>
            <w:pPr>
              <w:pStyle w:val="table-level-0"/>
              <w:ind w:leftChars="0" w:left="0" w:right="0"/>
              <w:keepNext/>
            </w:pPr>
            <w:r>
              <w:t>-201</w:t>
            </w:r>
          </w:p>
        </w:tc>
        <w:tc>
          <w:tcPr>
            <w:cnfStyle w:evenVBand="false" w:oddVBand="true" w:firstColumn="false"/>
            <w:tcW w:w="11.434303%" w:type="pct"/>
          </w:tcPr>
          <w:p>
            <w:pPr>
              <w:pStyle w:val="table-level-0"/>
              <w:ind w:leftChars="0" w:left="0" w:right="0"/>
              <w:keepNext/>
            </w:pPr>
            <w:r>
              <w:t>-194,5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5cb5ecdd803b361f7319bd4568496d4f">
              <w:r>
                <w:rPr>
                  <w:rStyle w:val="Hyperlink"/>
                </w:rPr>
                <w:t>Utili/perdite su cambi</w:t>
              </w:r>
            </w:hyperlink>
          </w:p>
        </w:tc>
        <w:tc>
          <w:tcPr>
            <w:cnfStyle w:evenVBand="true" w:oddVBand="false" w:firstColumn="false"/>
            <w:tcW w:w="11.434303%" w:type="pct"/>
          </w:tcPr>
          <w:p>
            <w:pPr>
              <w:pStyle w:val="table-level-0"/>
              <w:ind w:leftChars="0" w:left="0" w:right="0"/>
              <w:keepNext/>
            </w:pPr>
            <w:r>
              <w:t>3,9</w:t>
            </w:r>
          </w:p>
        </w:tc>
        <w:tc>
          <w:tcPr>
            <w:cnfStyle w:evenVBand="false" w:oddVBand="true" w:firstColumn="false"/>
            <w:tcW w:w="11.434303%" w:type="pct"/>
          </w:tcPr>
          <w:p>
            <w:pPr>
              <w:pStyle w:val="table-level-0"/>
              <w:ind w:leftChars="0" w:left="0" w:right="0"/>
              <w:keepNext/>
            </w:pPr>
            <w:r>
              <w:t>3,8</w:t>
            </w:r>
          </w:p>
        </w:tc>
        <w:tc>
          <w:tcPr>
            <w:cnfStyle w:evenVBand="true" w:oddVBand="false" w:firstColumn="false"/>
            <w:tcW w:w="11.434303%" w:type="pct"/>
          </w:tcPr>
          <w:p>
            <w:pPr>
              <w:pStyle w:val="table-level-0"/>
              <w:ind w:leftChars="0" w:left="0" w:right="0"/>
              <w:keepNext/>
            </w:pPr>
            <w:r>
              <w:t>2,9</w:t>
            </w:r>
          </w:p>
        </w:tc>
        <w:tc>
          <w:tcPr>
            <w:cnfStyle w:evenVBand="false" w:oddVBand="true" w:firstColumn="false"/>
            <w:tcW w:w="11.434303%" w:type="pct"/>
          </w:tcPr>
          <w:p>
            <w:pPr>
              <w:pStyle w:val="table-level-0"/>
              <w:ind w:leftChars="0" w:left="0" w:right="0"/>
              <w:keepNext/>
            </w:pPr>
            <w:r>
              <w:t>2,7</w:t>
            </w:r>
          </w:p>
        </w:tc>
        <w:tc>
          <w:tcPr>
            <w:cnfStyle w:evenVBand="true" w:oddVBand="false" w:firstColumn="false"/>
            <w:tcW w:w="11.434303%" w:type="pct"/>
          </w:tcPr>
          <w:p>
            <w:pPr>
              <w:pStyle w:val="table-level-0"/>
              <w:ind w:leftChars="0" w:left="0" w:right="0"/>
              <w:keepNext/>
            </w:pPr>
            <w:r>
              <w:t>4,3</w:t>
            </w:r>
          </w:p>
        </w:tc>
        <w:tc>
          <w:tcPr>
            <w:cnfStyle w:evenVBand="false" w:oddVBand="true" w:firstColumn="false"/>
            <w:tcW w:w="11.434303%" w:type="pct"/>
          </w:tcPr>
          <w:p>
            <w:pPr>
              <w:pStyle w:val="table-level-0"/>
              <w:ind w:leftChars="0" w:left="0" w:right="0"/>
              <w:keepNext/>
            </w:pPr>
            <w:r>
              <w:t>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d2b102cde39ff330544243511b5a7889">
              <w:r>
                <w:rPr>
                  <w:rStyle w:val="Hyperlink"/>
                </w:rPr>
                <w:t>Riv./svalutazioni finanziarie</w:t>
              </w:r>
            </w:hyperlink>
          </w:p>
        </w:tc>
        <w:tc>
          <w:tcPr>
            <w:cnfStyle w:evenVBand="true" w:oddVBand="false" w:firstColumn="false"/>
            <w:tcW w:w="11.434303%" w:type="pct"/>
          </w:tcPr>
          <w:p>
            <w:pPr>
              <w:pStyle w:val="table-level-0"/>
              <w:ind w:leftChars="0" w:left="0" w:right="0"/>
              <w:keepNext/>
            </w:pPr>
            <w:r>
              <w:t>1,3</w:t>
            </w:r>
          </w:p>
        </w:tc>
        <w:tc>
          <w:tcPr>
            <w:cnfStyle w:evenVBand="false" w:oddVBand="true" w:firstColumn="false"/>
            <w:tcW w:w="11.434303%" w:type="pct"/>
          </w:tcPr>
          <w:p>
            <w:pPr>
              <w:pStyle w:val="table-level-0"/>
              <w:ind w:leftChars="0" w:left="0" w:right="0"/>
              <w:keepNext/>
            </w:pPr>
            <w:r>
              <w:t>-2,1</w:t>
            </w:r>
          </w:p>
        </w:tc>
        <w:tc>
          <w:tcPr>
            <w:cnfStyle w:evenVBand="true" w:oddVBand="false" w:firstColumn="false"/>
            <w:tcW w:w="11.434303%" w:type="pct"/>
          </w:tcPr>
          <w:p>
            <w:pPr>
              <w:pStyle w:val="table-level-0"/>
              <w:ind w:leftChars="0" w:left="0" w:right="0"/>
              <w:keepNext/>
            </w:pPr>
            <w:r>
              <w:t>-1,3</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0,6</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hyperlink w:anchor="_bd0b1e737cd62cf730c4ec82ce7d1c9a">
              <w:r>
                <w:rPr>
                  <w:rStyle w:val="Hyperlink"/>
                </w:rPr>
                <w:t>Reddito ante imposte</w:t>
              </w:r>
            </w:hyperlink>
          </w:p>
        </w:tc>
        <w:tc>
          <w:tcPr>
            <w:cnfStyle w:evenVBand="true" w:oddVBand="false" w:firstColumn="false"/>
            <w:tcW w:w="11.434303%" w:type="pct"/>
          </w:tcPr>
          <w:p>
            <w:pPr>
              <w:pStyle w:val="table-level-300"/>
              <w:ind w:leftChars="0" w:left="0" w:right="0"/>
              <w:keepNext/>
            </w:pPr>
            <w:r>
              <w:t>949</w:t>
            </w:r>
          </w:p>
        </w:tc>
        <w:tc>
          <w:tcPr>
            <w:cnfStyle w:evenVBand="false" w:oddVBand="true" w:firstColumn="false"/>
            <w:tcW w:w="11.434303%" w:type="pct"/>
          </w:tcPr>
          <w:p>
            <w:pPr>
              <w:pStyle w:val="table-level-300"/>
              <w:ind w:leftChars="0" w:left="0" w:right="0"/>
              <w:keepNext/>
            </w:pPr>
            <w:r>
              <w:t>1.194</w:t>
            </w:r>
          </w:p>
        </w:tc>
        <w:tc>
          <w:tcPr>
            <w:cnfStyle w:evenVBand="true" w:oddVBand="false" w:firstColumn="false"/>
            <w:tcW w:w="11.434303%" w:type="pct"/>
          </w:tcPr>
          <w:p>
            <w:pPr>
              <w:pStyle w:val="table-level-300"/>
              <w:ind w:leftChars="0" w:left="0" w:right="0"/>
              <w:keepNext/>
            </w:pPr>
            <w:r>
              <w:t>1.300</w:t>
            </w:r>
          </w:p>
        </w:tc>
        <w:tc>
          <w:tcPr>
            <w:cnfStyle w:evenVBand="false" w:oddVBand="true" w:firstColumn="false"/>
            <w:tcW w:w="11.434303%" w:type="pct"/>
          </w:tcPr>
          <w:p>
            <w:pPr>
              <w:pStyle w:val="table-level-300"/>
              <w:ind w:leftChars="0" w:left="0" w:right="0"/>
              <w:keepNext/>
            </w:pPr>
            <w:r>
              <w:t>1.010</w:t>
            </w:r>
          </w:p>
        </w:tc>
        <w:tc>
          <w:tcPr>
            <w:cnfStyle w:evenVBand="true" w:oddVBand="false" w:firstColumn="false"/>
            <w:tcW w:w="11.434303%" w:type="pct"/>
          </w:tcPr>
          <w:p>
            <w:pPr>
              <w:pStyle w:val="table-level-300"/>
              <w:ind w:leftChars="0" w:left="0" w:right="0"/>
              <w:keepNext/>
            </w:pPr>
            <w:r>
              <w:t>493,6</w:t>
            </w:r>
          </w:p>
        </w:tc>
        <w:tc>
          <w:tcPr>
            <w:cnfStyle w:evenVBand="false" w:oddVBand="true" w:firstColumn="false"/>
            <w:tcW w:w="11.434303%" w:type="pct"/>
          </w:tcPr>
          <w:p>
            <w:pPr>
              <w:pStyle w:val="table-level-300"/>
              <w:ind w:leftChars="0" w:left="0" w:right="0"/>
              <w:keepNext/>
            </w:pPr>
            <w:r>
              <w:t>734,6</w:t>
            </w:r>
          </w:p>
        </w:tc>
      </w:tr>
    </w:tbl>
    <w:p>
      <w:pPr>
        <w:pStyle w:val="TableBottomMargin"/>
      </w:pPr>
    </w:p>
    <w:p>
      <w:pPr>
        <w:pStyle w:val="BodyText"/>
        <w:ind w:leftChars="0" w:left="0" w:right="0"/>
      </w:pPr>
      <w:r>
        <w:t xml:space="preserve">Dal prospetto si evince che al 31 dicembre 2022 il valore della voce </w:t>
      </w:r>
      <w:r>
        <w:rPr>
          <w:i/>
          <w:iCs/>
        </w:rPr>
        <w:t>Reddito ante imposte</w:t>
      </w:r>
      <w:r>
        <w:t xml:space="preserve"> è pari a € 948.953 ed è in diminuzione del 21% rispetto al 31 dicembre 2021.</w:t>
      </w:r>
    </w:p>
    <w:p>
      <w:pPr>
        <w:pStyle w:val="BodyText"/>
        <w:ind w:leftChars="0" w:left="0" w:right="0"/>
      </w:pPr>
      <w:r>
        <w:t xml:space="preserve">Il grafico seguente mostra l’analisi dell’andamento della voce </w:t>
      </w:r>
      <w:r>
        <w:rPr>
          <w:i/>
          <w:iCs/>
        </w:rPr>
        <w:t>Reddito ante imposte</w:t>
      </w:r>
      <w:r>
        <w:t xml:space="preserve"> dal 31 dicembre 2017 al 31 dicembre 2022. Nel periodo evidenziato, il valore medio è stato pari a € 946.867.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89" name="d0dc3af71125d32180ab39f26c896c82.png" descr="_static/temp/d0dc3af71125d32180ab39f26c896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0dc3af71125d32180ab39f26c896c82.png" descr="_static/temp/d0dc3af71125d32180ab39f26c896c82.png"/>
                    <pic:cNvPicPr>
                      <a:picLocks noChangeAspect="1" noChangeArrowheads="1"/>
                    </pic:cNvPicPr>
                  </pic:nvPicPr>
                  <pic:blipFill>
                    <a:blip xmlns:r="http://schemas.openxmlformats.org/officeDocument/2006/relationships" r:embed="rId112"/>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Reddito ante imposte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0" name="edb511d8f2340a1c859400949e4c4516.png" descr="_static/temp/edb511d8f2340a1c859400949e4c4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edb511d8f2340a1c859400949e4c4516.png" descr="_static/temp/edb511d8f2340a1c859400949e4c4516.png"/>
                    <pic:cNvPicPr>
                      <a:picLocks noChangeAspect="1" noChangeArrowheads="1"/>
                    </pic:cNvPicPr>
                  </pic:nvPicPr>
                  <pic:blipFill>
                    <a:blip xmlns:r="http://schemas.openxmlformats.org/officeDocument/2006/relationships" r:embed="rId113"/>
                    <a:srcRect/>
                    <a:stretch>
                      <a:fillRect/>
                    </a:stretch>
                  </pic:blipFill>
                  <pic:spPr bwMode="auto">
                    <a:xfrm>
                      <a:off x="0" y="0"/>
                      <a:ext cx="6476365" cy="3266766"/>
                    </a:xfrm>
                    <a:prstGeom prst="rect">
                      <a:avLst/>
                    </a:prstGeom>
                    <a:noFill/>
                  </pic:spPr>
                </pic:pic>
              </a:graphicData>
            </a:graphic>
          </wp:inline>
        </w:drawing>
      </w:r>
    </w:p>
    <w:bookmarkStart w:id="578" w:name="_352feb344487d89fc58e8ddd2f8e6700"/>
    <w:bookmarkStart w:id="579" w:name="_8d641bd68512920159375a8042dce5c2"/>
    <w:p>
      <w:pPr>
        <w:pStyle w:val="Heading3"/>
        <w:keepNext/>
      </w:pPr>
      <w:r>
        <w:t>Proventi finanziari</w:t>
      </w:r>
    </w:p>
    <w:p>
      <w:pPr>
        <w:pStyle w:val="BodyText"/>
        <w:ind w:leftChars="0" w:left="0" w:right="0"/>
      </w:pPr>
      <w:r>
        <w:t xml:space="preserve">La presente sottosezione della </w:t>
      </w:r>
      <w:hyperlink w:anchor="_bd0b1e737cd62cf730c4ec82ce7d1c9a">
        <w:r>
          <w:rPr>
            <w:rStyle w:val="Hyperlink"/>
          </w:rPr>
          <w:t>Gestione finanziaria</w:t>
        </w:r>
      </w:hyperlink>
      <w:r>
        <w:t xml:space="preserve"> è dedicata ai proventi finanziari. Questi rappresentano proventi derivanti dalle attività finanziarie (partecipazioni, crediti, titoli ecc.).</w:t>
      </w:r>
    </w:p>
    <w:p>
      <w:pPr>
        <w:pStyle w:val="BodyText"/>
        <w:ind w:leftChars="0" w:left="0" w:right="0"/>
      </w:pPr>
      <w:r>
        <w:t xml:space="preserve">Il prospetto seguente illustra il dettaglio analitico della voce </w:t>
      </w:r>
      <w:r>
        <w:rPr>
          <w:i/>
          <w:iCs/>
        </w:rPr>
        <w:t>Proventi finanziari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d641bd68512920159375a8042dce5c2">
              <w:r>
                <w:rPr>
                  <w:rStyle w:val="Hyperlink"/>
                </w:rPr>
                <w:t>Proventi finanziari</w:t>
              </w:r>
            </w:hyperlink>
          </w:p>
        </w:tc>
        <w:tc>
          <w:tcPr>
            <w:cnfStyle w:evenVBand="true" w:oddVBand="false" w:firstColumn="false"/>
            <w:tcW w:w="11.434303%" w:type="pct"/>
          </w:tcPr>
          <w:p>
            <w:pPr>
              <w:pStyle w:val="table-level-1"/>
              <w:ind w:leftChars="0" w:left="0" w:right="0"/>
              <w:keepNext/>
            </w:pPr>
            <w:r>
              <w:t>11</w:t>
            </w:r>
          </w:p>
        </w:tc>
        <w:tc>
          <w:tcPr>
            <w:cnfStyle w:evenVBand="false" w:oddVBand="true" w:firstColumn="false"/>
            <w:tcW w:w="11.434303%" w:type="pct"/>
          </w:tcPr>
          <w:p>
            <w:pPr>
              <w:pStyle w:val="table-level-1"/>
              <w:ind w:leftChars="0" w:left="0" w:right="0"/>
              <w:keepNext/>
            </w:pPr>
            <w:r>
              <w:t>13,3</w:t>
            </w:r>
          </w:p>
        </w:tc>
        <w:tc>
          <w:tcPr>
            <w:cnfStyle w:evenVBand="true" w:oddVBand="false" w:firstColumn="false"/>
            <w:tcW w:w="11.434303%" w:type="pct"/>
          </w:tcPr>
          <w:p>
            <w:pPr>
              <w:pStyle w:val="table-level-1"/>
              <w:ind w:leftChars="0" w:left="0" w:right="0"/>
              <w:keepNext/>
            </w:pPr>
            <w:r>
              <w:t>11,5</w:t>
            </w:r>
          </w:p>
        </w:tc>
        <w:tc>
          <w:tcPr>
            <w:cnfStyle w:evenVBand="false" w:oddVBand="true" w:firstColumn="false"/>
            <w:tcW w:w="11.434303%" w:type="pct"/>
          </w:tcPr>
          <w:p>
            <w:pPr>
              <w:pStyle w:val="table-level-1"/>
              <w:ind w:leftChars="0" w:left="0" w:right="0"/>
              <w:keepNext/>
            </w:pPr>
            <w:r>
              <w:t>10,2</w:t>
            </w:r>
          </w:p>
        </w:tc>
        <w:tc>
          <w:tcPr>
            <w:cnfStyle w:evenVBand="true" w:oddVBand="false" w:firstColumn="false"/>
            <w:tcW w:w="11.434303%" w:type="pct"/>
          </w:tcPr>
          <w:p>
            <w:pPr>
              <w:pStyle w:val="table-level-1"/>
              <w:ind w:leftChars="0" w:left="0" w:right="0"/>
              <w:keepNext/>
            </w:pPr>
            <w:r>
              <w:t>15,2</w:t>
            </w:r>
          </w:p>
        </w:tc>
        <w:tc>
          <w:tcPr>
            <w:cnfStyle w:evenVBand="false" w:oddVBand="true" w:firstColumn="false"/>
            <w:tcW w:w="11.434303%" w:type="pct"/>
          </w:tcPr>
          <w:p>
            <w:pPr>
              <w:pStyle w:val="table-level-1"/>
              <w:ind w:leftChars="0" w:left="0" w:right="0"/>
              <w:keepNext/>
            </w:pPr>
            <w:r>
              <w:t>20,2</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Proventi da partecipazioni</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2,5</w:t>
            </w:r>
          </w:p>
        </w:tc>
        <w:tc>
          <w:tcPr>
            <w:cnfStyle w:evenVBand="true" w:oddVBand="false" w:firstColumn="false"/>
            <w:tcW w:w="11.434303%" w:type="pct"/>
          </w:tcPr>
          <w:p>
            <w:pPr>
              <w:pStyle w:val="table-level-0"/>
              <w:ind w:leftChars="0" w:left="0" w:right="0"/>
              <w:keepNext/>
            </w:pPr>
            <w:r>
              <w:t>3,5</w:t>
            </w:r>
          </w:p>
        </w:tc>
        <w:tc>
          <w:tcPr>
            <w:cnfStyle w:evenVBand="false" w:oddVBand="true" w:firstColumn="false"/>
            <w:tcW w:w="11.434303%" w:type="pct"/>
          </w:tcPr>
          <w:p>
            <w:pPr>
              <w:pStyle w:val="table-level-0"/>
              <w:ind w:leftChars="0" w:left="0" w:right="0"/>
              <w:keepNext/>
            </w:pPr>
            <w:r>
              <w:t>4,5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Proventi da crediti finanziari</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1,1</w:t>
            </w:r>
          </w:p>
        </w:tc>
        <w:tc>
          <w:tcPr>
            <w:cnfStyle w:evenVBand="false" w:oddVBand="true" w:firstColumn="false"/>
            <w:tcW w:w="11.434303%" w:type="pct"/>
          </w:tcPr>
          <w:p>
            <w:pPr>
              <w:pStyle w:val="table-level-0"/>
              <w:ind w:leftChars="0" w:left="0" w:right="0"/>
              <w:keepNext/>
            </w:pPr>
            <w:r>
              <w:t>1</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Proventi da titoli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2,5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attivi</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6</w:t>
            </w:r>
          </w:p>
        </w:tc>
        <w:tc>
          <w:tcPr>
            <w:cnfStyle w:evenVBand="true" w:oddVBand="false" w:firstColumn="false"/>
            <w:tcW w:w="11.434303%" w:type="pct"/>
          </w:tcPr>
          <w:p>
            <w:pPr>
              <w:pStyle w:val="table-level-0"/>
              <w:ind w:leftChars="0" w:left="0" w:right="0"/>
              <w:keepNext/>
            </w:pPr>
            <w:r>
              <w:t>5,5</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Altri proventi finanziari</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c>
          <w:tcPr>
            <w:cnfStyle w:evenVBand="true" w:oddVBand="false" w:firstColumn="false"/>
            <w:tcW w:w="11.434303%" w:type="pct"/>
          </w:tcPr>
          <w:p>
            <w:pPr>
              <w:pStyle w:val="table-level-0"/>
              <w:ind w:leftChars="0" w:left="0" w:right="0"/>
              <w:keepNext/>
            </w:pPr>
            <w:r>
              <w:t>1,3</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2,2</w:t>
            </w:r>
          </w:p>
        </w:tc>
        <w:tc>
          <w:tcPr>
            <w:cnfStyle w:evenVBand="false" w:oddVBand="true" w:firstColumn="false"/>
            <w:tcW w:w="11.434303%" w:type="pct"/>
          </w:tcPr>
          <w:p>
            <w:pPr>
              <w:pStyle w:val="table-level-0"/>
              <w:ind w:leftChars="0" w:left="0" w:right="0"/>
              <w:keepNext/>
            </w:pPr>
            <w:r>
              <w:t>3,2</w:t>
            </w:r>
          </w:p>
        </w:tc>
      </w:tr>
    </w:tbl>
    <w:p>
      <w:pPr>
        <w:pStyle w:val="TableBottomMargin"/>
      </w:pPr>
    </w:p>
    <w:p>
      <w:pPr>
        <w:pStyle w:val="BodyText"/>
        <w:ind w:leftChars="0" w:left="0" w:right="0"/>
      </w:pPr>
      <w:r>
        <w:t xml:space="preserve">Dal prospetto si evince che al 31 dicembre 2022 il valore della voce </w:t>
      </w:r>
      <w:r>
        <w:rPr>
          <w:i/>
          <w:iCs/>
        </w:rPr>
        <w:t>Proventi finanziari</w:t>
      </w:r>
      <w:r>
        <w:t xml:space="preserve"> è pari a € 11.000 ed è in diminuzione del 17% rispetto al 31 dicembre 2021.</w:t>
      </w:r>
    </w:p>
    <w:p>
      <w:pPr>
        <w:pStyle w:val="BodyText"/>
        <w:ind w:leftChars="0" w:left="0" w:right="0"/>
      </w:pPr>
      <w:r>
        <w:t xml:space="preserve">Il grafico seguente mostra l’analisi dell’andamento della voce </w:t>
      </w:r>
      <w:r>
        <w:rPr>
          <w:i/>
          <w:iCs/>
        </w:rPr>
        <w:t>Proventi finanziari</w:t>
      </w:r>
      <w:r>
        <w:t xml:space="preserve"> dal 31 dicembre 2017 al 31 dicembre 2022. Nel periodo evidenziato, il valore medio è stato pari a € 13.567.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1" name="53c15f8b63b7602d9833ab340773013a.png" descr="_static/temp/53c15f8b63b7602d9833ab3407730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53c15f8b63b7602d9833ab340773013a.png" descr="_static/temp/53c15f8b63b7602d9833ab340773013a.png"/>
                    <pic:cNvPicPr>
                      <a:picLocks noChangeAspect="1" noChangeArrowheads="1"/>
                    </pic:cNvPicPr>
                  </pic:nvPicPr>
                  <pic:blipFill>
                    <a:blip xmlns:r="http://schemas.openxmlformats.org/officeDocument/2006/relationships" r:embed="rId114"/>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Proventi finanziari</w:t>
      </w:r>
      <w:r>
        <w:t xml:space="preserve"> al 31 dicembre 2022, la componente più significativa è rappresentata dalla voce </w:t>
      </w:r>
      <w:r>
        <w:rPr>
          <w:i/>
          <w:iCs/>
        </w:rPr>
        <w:t>Interessi attivi di natura finanziaria</w:t>
      </w:r>
      <w:r>
        <w:t xml:space="preserve"> con un valore pari a 5.000 €. Il grafico seguente visualizza la ripartizione di tutte le componenti della voce </w:t>
      </w:r>
      <w:r>
        <w:rPr>
          <w:i/>
          <w:iCs/>
        </w:rPr>
        <w:t>Proventi finanziari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2" name="aac1e18680bb5af9c6a073063f6b876d.png" descr="_static/temp/aac1e18680bb5af9c6a073063f6b87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ac1e18680bb5af9c6a073063f6b876d.png" descr="_static/temp/aac1e18680bb5af9c6a073063f6b876d.png"/>
                    <pic:cNvPicPr>
                      <a:picLocks noChangeAspect="1" noChangeArrowheads="1"/>
                    </pic:cNvPicPr>
                  </pic:nvPicPr>
                  <pic:blipFill>
                    <a:blip xmlns:r="http://schemas.openxmlformats.org/officeDocument/2006/relationships" r:embed="rId115"/>
                    <a:srcRect/>
                    <a:stretch>
                      <a:fillRect/>
                    </a:stretch>
                  </pic:blipFill>
                  <pic:spPr bwMode="auto">
                    <a:xfrm>
                      <a:off x="0" y="0"/>
                      <a:ext cx="6476365" cy="3266766"/>
                    </a:xfrm>
                    <a:prstGeom prst="rect">
                      <a:avLst/>
                    </a:prstGeom>
                    <a:noFill/>
                  </pic:spPr>
                </pic:pic>
              </a:graphicData>
            </a:graphic>
          </wp:inline>
        </w:drawing>
      </w:r>
    </w:p>
    <w:bookmarkEnd w:id="578"/>
    <w:bookmarkEnd w:id="579"/>
    <w:bookmarkStart w:id="580" w:name="_3bdbf17168a6e9de2f8f380501187457"/>
    <w:bookmarkStart w:id="581" w:name="_bcbd8c75aba5e984a22dafd11e50d247"/>
    <w:p>
      <w:pPr>
        <w:pStyle w:val="Heading3"/>
        <w:keepNext/>
      </w:pPr>
      <w:r>
        <w:t>Oneri finanziari</w:t>
      </w:r>
    </w:p>
    <w:p>
      <w:pPr>
        <w:pStyle w:val="BodyText"/>
        <w:ind w:leftChars="0" w:left="0" w:right="0"/>
      </w:pPr>
      <w:r>
        <w:t xml:space="preserve">La presente sottosezione della </w:t>
      </w:r>
      <w:hyperlink w:anchor="_bd0b1e737cd62cf730c4ec82ce7d1c9a">
        <w:r>
          <w:rPr>
            <w:rStyle w:val="Hyperlink"/>
          </w:rPr>
          <w:t>Gestione finanziaria</w:t>
        </w:r>
      </w:hyperlink>
      <w:r>
        <w:t xml:space="preserve"> è dedicata agli oneri finanziari. Questi rappresentano oneri derivanti dalle passività finanziarie (finanziamenti, minusvalenze da alienazione di titoli e partecipazioni ecc.).</w:t>
      </w:r>
    </w:p>
    <w:p>
      <w:pPr>
        <w:pStyle w:val="BodyText"/>
        <w:ind w:leftChars="0" w:left="0" w:right="0"/>
      </w:pPr>
      <w:r>
        <w:t xml:space="preserve">Il prospetto seguente illustra il dettaglio analitico della voce </w:t>
      </w:r>
      <w:r>
        <w:rPr>
          <w:i/>
          <w:iCs/>
        </w:rPr>
        <w:t>Oneri finanziari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bcbd8c75aba5e984a22dafd11e50d247">
              <w:r>
                <w:rPr>
                  <w:rStyle w:val="Hyperlink"/>
                </w:rPr>
                <w:t>Oneri finanziari</w:t>
              </w:r>
            </w:hyperlink>
          </w:p>
        </w:tc>
        <w:tc>
          <w:tcPr>
            <w:cnfStyle w:evenVBand="true" w:oddVBand="false" w:firstColumn="false"/>
            <w:tcW w:w="11.434303%" w:type="pct"/>
          </w:tcPr>
          <w:p>
            <w:pPr>
              <w:pStyle w:val="table-level-1"/>
              <w:ind w:leftChars="0" w:left="0" w:right="0"/>
              <w:keepNext/>
            </w:pPr>
            <w:r>
              <w:t>234,8</w:t>
            </w:r>
          </w:p>
        </w:tc>
        <w:tc>
          <w:tcPr>
            <w:cnfStyle w:evenVBand="false" w:oddVBand="true" w:firstColumn="false"/>
            <w:tcW w:w="11.434303%" w:type="pct"/>
          </w:tcPr>
          <w:p>
            <w:pPr>
              <w:pStyle w:val="table-level-1"/>
              <w:ind w:leftChars="0" w:left="0" w:right="0"/>
              <w:keepNext/>
            </w:pPr>
            <w:r>
              <w:t>220,7</w:t>
            </w:r>
          </w:p>
        </w:tc>
        <w:tc>
          <w:tcPr>
            <w:cnfStyle w:evenVBand="true" w:oddVBand="false" w:firstColumn="false"/>
            <w:tcW w:w="11.434303%" w:type="pct"/>
          </w:tcPr>
          <w:p>
            <w:pPr>
              <w:pStyle w:val="table-level-1"/>
              <w:ind w:leftChars="0" w:left="0" w:right="0"/>
              <w:keepNext/>
            </w:pPr>
            <w:r>
              <w:t>210,5</w:t>
            </w:r>
          </w:p>
        </w:tc>
        <w:tc>
          <w:tcPr>
            <w:cnfStyle w:evenVBand="false" w:oddVBand="true" w:firstColumn="false"/>
            <w:tcW w:w="11.434303%" w:type="pct"/>
          </w:tcPr>
          <w:p>
            <w:pPr>
              <w:pStyle w:val="table-level-1"/>
              <w:ind w:leftChars="0" w:left="0" w:right="0"/>
              <w:keepNext/>
            </w:pPr>
            <w:r>
              <w:t>205,5</w:t>
            </w:r>
          </w:p>
        </w:tc>
        <w:tc>
          <w:tcPr>
            <w:cnfStyle w:evenVBand="true" w:oddVBand="false" w:firstColumn="false"/>
            <w:tcW w:w="11.434303%" w:type="pct"/>
          </w:tcPr>
          <w:p>
            <w:pPr>
              <w:pStyle w:val="table-level-1"/>
              <w:ind w:leftChars="0" w:left="0" w:right="0"/>
              <w:keepNext/>
            </w:pPr>
            <w:r>
              <w:t>201</w:t>
            </w:r>
          </w:p>
        </w:tc>
        <w:tc>
          <w:tcPr>
            <w:cnfStyle w:evenVBand="false" w:oddVBand="true" w:firstColumn="false"/>
            <w:tcW w:w="11.434303%" w:type="pct"/>
          </w:tcPr>
          <w:p>
            <w:pPr>
              <w:pStyle w:val="table-level-1"/>
              <w:ind w:leftChars="0" w:left="0" w:right="0"/>
              <w:keepNext/>
            </w:pPr>
            <w:r>
              <w:t>194,5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obbligazioni</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5</w:t>
            </w:r>
          </w:p>
        </w:tc>
        <w:tc>
          <w:tcPr>
            <w:cnfStyle w:evenVBand="true" w:oddVBand="false" w:firstColumn="false"/>
            <w:tcW w:w="11.434303%" w:type="pct"/>
          </w:tcPr>
          <w:p>
            <w:pPr>
              <w:pStyle w:val="table-level-0"/>
              <w:ind w:leftChars="0" w:left="0" w:right="0"/>
              <w:keepNext/>
            </w:pPr>
            <w:r>
              <w:t>4</w:t>
            </w:r>
          </w:p>
        </w:tc>
        <w:tc>
          <w:tcPr>
            <w:cnfStyle w:evenVBand="false" w:oddVBand="true" w:firstColumn="false"/>
            <w:tcW w:w="11.434303%" w:type="pct"/>
          </w:tcPr>
          <w:p>
            <w:pPr>
              <w:pStyle w:val="table-level-0"/>
              <w:ind w:leftChars="0" w:left="0" w:right="0"/>
              <w:keepNext/>
            </w:pPr>
            <w:r>
              <w:t>3</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finanziamenti a breve</w:t>
            </w:r>
          </w:p>
        </w:tc>
        <w:tc>
          <w:tcPr>
            <w:cnfStyle w:evenVBand="true" w:oddVBand="false" w:firstColumn="false"/>
            <w:tcW w:w="11.434303%" w:type="pct"/>
          </w:tcPr>
          <w:p>
            <w:pPr>
              <w:pStyle w:val="table-level-0"/>
              <w:ind w:leftChars="0" w:left="0" w:right="0"/>
              <w:keepNext/>
            </w:pPr>
            <w:r>
              <w:t>82</w:t>
            </w:r>
          </w:p>
        </w:tc>
        <w:tc>
          <w:tcPr>
            <w:cnfStyle w:evenVBand="false" w:oddVBand="true" w:firstColumn="false"/>
            <w:tcW w:w="11.434303%" w:type="pct"/>
          </w:tcPr>
          <w:p>
            <w:pPr>
              <w:pStyle w:val="table-level-0"/>
              <w:ind w:leftChars="0" w:left="0" w:right="0"/>
              <w:keepNext/>
            </w:pPr>
            <w:r>
              <w:t>77,7</w:t>
            </w:r>
          </w:p>
        </w:tc>
        <w:tc>
          <w:tcPr>
            <w:cnfStyle w:evenVBand="true" w:oddVBand="false" w:firstColumn="false"/>
            <w:tcW w:w="11.434303%" w:type="pct"/>
          </w:tcPr>
          <w:p>
            <w:pPr>
              <w:pStyle w:val="table-level-0"/>
              <w:ind w:leftChars="0" w:left="0" w:right="0"/>
              <w:keepNext/>
            </w:pPr>
            <w:r>
              <w:t>74</w:t>
            </w:r>
          </w:p>
        </w:tc>
        <w:tc>
          <w:tcPr>
            <w:cnfStyle w:evenVBand="false" w:oddVBand="true" w:firstColumn="false"/>
            <w:tcW w:w="11.434303%" w:type="pct"/>
          </w:tcPr>
          <w:p>
            <w:pPr>
              <w:pStyle w:val="table-level-0"/>
              <w:ind w:leftChars="0" w:left="0" w:right="0"/>
              <w:keepNext/>
            </w:pPr>
            <w:r>
              <w:t>70</w:t>
            </w:r>
          </w:p>
        </w:tc>
        <w:tc>
          <w:tcPr>
            <w:cnfStyle w:evenVBand="true" w:oddVBand="false" w:firstColumn="false"/>
            <w:tcW w:w="11.434303%" w:type="pct"/>
          </w:tcPr>
          <w:p>
            <w:pPr>
              <w:pStyle w:val="table-level-0"/>
              <w:ind w:leftChars="0" w:left="0" w:right="0"/>
              <w:keepNext/>
            </w:pPr>
            <w:r>
              <w:t>69</w:t>
            </w:r>
          </w:p>
        </w:tc>
        <w:tc>
          <w:tcPr>
            <w:cnfStyle w:evenVBand="false" w:oddVBand="true" w:firstColumn="false"/>
            <w:tcW w:w="11.434303%" w:type="pct"/>
          </w:tcPr>
          <w:p>
            <w:pPr>
              <w:pStyle w:val="table-level-0"/>
              <w:ind w:leftChars="0" w:left="0" w:right="0"/>
              <w:keepNext/>
            </w:pPr>
            <w:r>
              <w:t>68</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finanziamenti a lungo</w:t>
            </w:r>
          </w:p>
        </w:tc>
        <w:tc>
          <w:tcPr>
            <w:cnfStyle w:evenVBand="true" w:oddVBand="false" w:firstColumn="false"/>
            <w:tcW w:w="11.434303%" w:type="pct"/>
          </w:tcPr>
          <w:p>
            <w:pPr>
              <w:pStyle w:val="table-level-0"/>
              <w:ind w:leftChars="0" w:left="0" w:right="0"/>
              <w:keepNext/>
            </w:pPr>
            <w:r>
              <w:t>110</w:t>
            </w:r>
          </w:p>
        </w:tc>
        <w:tc>
          <w:tcPr>
            <w:cnfStyle w:evenVBand="false" w:oddVBand="true" w:firstColumn="false"/>
            <w:tcW w:w="11.434303%" w:type="pct"/>
          </w:tcPr>
          <w:p>
            <w:pPr>
              <w:pStyle w:val="table-level-0"/>
              <w:ind w:leftChars="0" w:left="0" w:right="0"/>
              <w:keepNext/>
            </w:pPr>
            <w:r>
              <w:t>105</w:t>
            </w:r>
          </w:p>
        </w:tc>
        <w:tc>
          <w:tcPr>
            <w:cnfStyle w:evenVBand="true" w:oddVBand="false" w:firstColumn="false"/>
            <w:tcW w:w="11.434303%" w:type="pct"/>
          </w:tcPr>
          <w:p>
            <w:pPr>
              <w:pStyle w:val="table-level-0"/>
              <w:ind w:leftChars="0" w:left="0" w:right="0"/>
              <w:keepNext/>
            </w:pPr>
            <w:r>
              <w:t>100</w:t>
            </w:r>
          </w:p>
        </w:tc>
        <w:tc>
          <w:tcPr>
            <w:cnfStyle w:evenVBand="false" w:oddVBand="true" w:firstColumn="false"/>
            <w:tcW w:w="11.434303%" w:type="pct"/>
          </w:tcPr>
          <w:p>
            <w:pPr>
              <w:pStyle w:val="table-level-0"/>
              <w:ind w:leftChars="0" w:left="0" w:right="0"/>
              <w:keepNext/>
            </w:pPr>
            <w:r>
              <w:t>100</w:t>
            </w:r>
          </w:p>
        </w:tc>
        <w:tc>
          <w:tcPr>
            <w:cnfStyle w:evenVBand="true" w:oddVBand="false" w:firstColumn="false"/>
            <w:tcW w:w="11.434303%" w:type="pct"/>
          </w:tcPr>
          <w:p>
            <w:pPr>
              <w:pStyle w:val="table-level-0"/>
              <w:ind w:leftChars="0" w:left="0" w:right="0"/>
              <w:keepNext/>
            </w:pPr>
            <w:r>
              <w:t>99</w:t>
            </w:r>
          </w:p>
        </w:tc>
        <w:tc>
          <w:tcPr>
            <w:cnfStyle w:evenVBand="false" w:oddVBand="true" w:firstColumn="false"/>
            <w:tcW w:w="11.434303%" w:type="pct"/>
          </w:tcPr>
          <w:p>
            <w:pPr>
              <w:pStyle w:val="table-level-0"/>
              <w:ind w:leftChars="0" w:left="0" w:right="0"/>
              <w:keepNext/>
            </w:pPr>
            <w:r>
              <w:t>98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Interessi altri debiti finanziari</w:t>
            </w:r>
          </w:p>
        </w:tc>
        <w:tc>
          <w:tcPr>
            <w:cnfStyle w:evenVBand="true" w:oddVBand="false" w:firstColumn="false"/>
            <w:tcW w:w="11.434303%" w:type="pct"/>
          </w:tcPr>
          <w:p>
            <w:pPr>
              <w:pStyle w:val="table-level-0"/>
              <w:ind w:leftChars="0" w:left="0" w:right="0"/>
              <w:keepNext/>
            </w:pPr>
            <w:r>
              <w:t>18</w:t>
            </w:r>
          </w:p>
        </w:tc>
        <w:tc>
          <w:tcPr>
            <w:cnfStyle w:evenVBand="false" w:oddVBand="true" w:firstColumn="false"/>
            <w:tcW w:w="11.434303%" w:type="pct"/>
          </w:tcPr>
          <w:p>
            <w:pPr>
              <w:pStyle w:val="table-level-0"/>
              <w:ind w:leftChars="0" w:left="0" w:right="0"/>
              <w:keepNext/>
            </w:pPr>
            <w:r>
              <w:t>16</w:t>
            </w:r>
          </w:p>
        </w:tc>
        <w:tc>
          <w:tcPr>
            <w:cnfStyle w:evenVBand="true" w:oddVBand="false" w:firstColumn="false"/>
            <w:tcW w:w="11.434303%" w:type="pct"/>
          </w:tcPr>
          <w:p>
            <w:pPr>
              <w:pStyle w:val="table-level-0"/>
              <w:ind w:leftChars="0" w:left="0" w:right="0"/>
              <w:keepNext/>
            </w:pPr>
            <w:r>
              <w:t>15,5</w:t>
            </w:r>
          </w:p>
        </w:tc>
        <w:tc>
          <w:tcPr>
            <w:cnfStyle w:evenVBand="false" w:oddVBand="true" w:firstColumn="false"/>
            <w:tcW w:w="11.434303%" w:type="pct"/>
          </w:tcPr>
          <w:p>
            <w:pPr>
              <w:pStyle w:val="table-level-0"/>
              <w:ind w:leftChars="0" w:left="0" w:right="0"/>
              <w:keepNext/>
            </w:pPr>
            <w:r>
              <w:t>15</w:t>
            </w:r>
          </w:p>
        </w:tc>
        <w:tc>
          <w:tcPr>
            <w:cnfStyle w:evenVBand="true" w:oddVBand="false" w:firstColumn="false"/>
            <w:tcW w:w="11.434303%" w:type="pct"/>
          </w:tcPr>
          <w:p>
            <w:pPr>
              <w:pStyle w:val="table-level-0"/>
              <w:ind w:leftChars="0" w:left="0" w:right="0"/>
              <w:keepNext/>
            </w:pPr>
            <w:r>
              <w:t>14</w:t>
            </w:r>
          </w:p>
        </w:tc>
        <w:tc>
          <w:tcPr>
            <w:cnfStyle w:evenVBand="false" w:oddVBand="true" w:firstColumn="false"/>
            <w:tcW w:w="11.434303%" w:type="pct"/>
          </w:tcPr>
          <w:p>
            <w:pPr>
              <w:pStyle w:val="table-level-0"/>
              <w:ind w:leftChars="0" w:left="0" w:right="0"/>
              <w:keepNext/>
            </w:pPr>
            <w:r>
              <w:t>13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finanziamenti soci</w:t>
            </w:r>
          </w:p>
        </w:tc>
        <w:tc>
          <w:tcPr>
            <w:cnfStyle w:evenVBand="true" w:oddVBand="false" w:firstColumn="false"/>
            <w:tcW w:w="11.434303%" w:type="pct"/>
          </w:tcPr>
          <w:p>
            <w:pPr>
              <w:pStyle w:val="table-level-0"/>
              <w:ind w:leftChars="0" w:left="0" w:right="0"/>
              <w:keepNext/>
            </w:pPr>
            <w:r>
              <w:t>8</w:t>
            </w:r>
          </w:p>
        </w:tc>
        <w:tc>
          <w:tcPr>
            <w:cnfStyle w:evenVBand="false" w:oddVBand="true" w:firstColumn="false"/>
            <w:tcW w:w="11.434303%" w:type="pct"/>
          </w:tcPr>
          <w:p>
            <w:pPr>
              <w:pStyle w:val="table-level-0"/>
              <w:ind w:leftChars="0" w:left="0" w:right="0"/>
              <w:keepNext/>
            </w:pPr>
            <w:r>
              <w:t>7,5</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7</w:t>
            </w:r>
          </w:p>
        </w:tc>
        <w:tc>
          <w:tcPr>
            <w:cnfStyle w:evenVBand="true" w:oddVBand="false" w:firstColumn="false"/>
            <w:tcW w:w="11.434303%" w:type="pct"/>
          </w:tcPr>
          <w:p>
            <w:pPr>
              <w:pStyle w:val="table-level-0"/>
              <w:ind w:leftChars="0" w:left="0" w:right="0"/>
              <w:keepNext/>
            </w:pPr>
            <w:r>
              <w:t>6</w:t>
            </w:r>
          </w:p>
        </w:tc>
        <w:tc>
          <w:tcPr>
            <w:cnfStyle w:evenVBand="false" w:oddVBand="true" w:firstColumn="false"/>
            <w:tcW w:w="11.434303%" w:type="pct"/>
          </w:tcPr>
          <w:p>
            <w:pPr>
              <w:pStyle w:val="table-level-0"/>
              <w:ind w:leftChars="0" w:left="0" w:right="0"/>
              <w:keepNext/>
            </w:pPr>
            <w:r>
              <w:t>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Oneri da partecipazioni</w:t>
            </w:r>
          </w:p>
        </w:tc>
        <w:tc>
          <w:tcPr>
            <w:cnfStyle w:evenVBand="true" w:oddVBand="false" w:firstColumn="false"/>
            <w:tcW w:w="11.434303%" w:type="pct"/>
          </w:tcPr>
          <w:p>
            <w:pPr>
              <w:pStyle w:val="table-level-0"/>
              <w:ind w:leftChars="0" w:left="0" w:right="0"/>
              <w:keepNext/>
            </w:pPr>
            <w:r>
              <w:t>0,75</w:t>
            </w:r>
          </w:p>
        </w:tc>
        <w:tc>
          <w:tcPr>
            <w:cnfStyle w:evenVBand="false" w:oddVBand="true" w:firstColumn="false"/>
            <w:tcW w:w="11.434303%" w:type="pct"/>
          </w:tcPr>
          <w:p>
            <w:pPr>
              <w:pStyle w:val="table-level-0"/>
              <w:ind w:leftChars="0" w:left="0" w:right="0"/>
              <w:keepNext/>
            </w:pPr>
            <w:r>
              <w:t>0,7</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0,5</w:t>
            </w:r>
          </w:p>
        </w:tc>
        <w:tc>
          <w:tcPr>
            <w:cnfStyle w:evenVBand="true" w:oddVBand="false" w:firstColumn="false"/>
            <w:tcW w:w="11.434303%" w:type="pct"/>
          </w:tcPr>
          <w:p>
            <w:pPr>
              <w:pStyle w:val="table-level-0"/>
              <w:ind w:leftChars="0" w:left="0" w:right="0"/>
              <w:keepNext/>
            </w:pPr>
            <w:r>
              <w:t>2</w:t>
            </w:r>
          </w:p>
        </w:tc>
        <w:tc>
          <w:tcPr>
            <w:cnfStyle w:evenVBand="false" w:oddVBand="true" w:firstColumn="false"/>
            <w:tcW w:w="11.434303%" w:type="pct"/>
          </w:tcPr>
          <w:p>
            <w:pPr>
              <w:pStyle w:val="table-level-0"/>
              <w:ind w:leftChars="0" w:left="0" w:right="0"/>
              <w:keepNext/>
            </w:pPr>
            <w:r>
              <w:t>1,5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Interessi altri debiti</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8,8</w:t>
            </w:r>
          </w:p>
        </w:tc>
        <w:tc>
          <w:tcPr>
            <w:cnfStyle w:evenVBand="true" w:oddVBand="false" w:firstColumn="false"/>
            <w:tcW w:w="11.434303%" w:type="pct"/>
          </w:tcPr>
          <w:p>
            <w:pPr>
              <w:pStyle w:val="table-level-0"/>
              <w:ind w:leftChars="0" w:left="0" w:right="0"/>
              <w:keepNext/>
            </w:pPr>
            <w:r>
              <w:t>8,4</w:t>
            </w:r>
          </w:p>
        </w:tc>
        <w:tc>
          <w:tcPr>
            <w:cnfStyle w:evenVBand="false" w:oddVBand="true" w:firstColumn="false"/>
            <w:tcW w:w="11.434303%" w:type="pct"/>
          </w:tcPr>
          <w:p>
            <w:pPr>
              <w:pStyle w:val="table-level-0"/>
              <w:ind w:leftChars="0" w:left="0" w:right="0"/>
              <w:keepNext/>
            </w:pPr>
            <w:r>
              <w:t>8</w:t>
            </w:r>
          </w:p>
        </w:tc>
        <w:tc>
          <w:tcPr>
            <w:cnfStyle w:evenVBand="true" w:oddVBand="false" w:firstColumn="false"/>
            <w:tcW w:w="11.434303%" w:type="pct"/>
          </w:tcPr>
          <w:p>
            <w:pPr>
              <w:pStyle w:val="table-level-0"/>
              <w:ind w:leftChars="0" w:left="0" w:right="0"/>
              <w:keepNext/>
            </w:pPr>
            <w:r>
              <w:t>7</w:t>
            </w:r>
          </w:p>
        </w:tc>
        <w:tc>
          <w:tcPr>
            <w:cnfStyle w:evenVBand="false" w:oddVBand="true" w:firstColumn="false"/>
            <w:tcW w:w="11.434303%" w:type="pct"/>
          </w:tcPr>
          <w:p>
            <w:pPr>
              <w:pStyle w:val="table-level-0"/>
              <w:ind w:leftChars="0" w:left="0" w:right="0"/>
              <w:keepNext/>
            </w:pPr>
            <w:r>
              <w:t>6</w:t>
            </w:r>
          </w:p>
        </w:tc>
      </w:tr>
    </w:tbl>
    <w:p>
      <w:pPr>
        <w:pStyle w:val="TableBottomMargin"/>
      </w:pPr>
    </w:p>
    <w:p>
      <w:pPr>
        <w:pStyle w:val="BodyText"/>
        <w:ind w:leftChars="0" w:left="0" w:right="0"/>
      </w:pPr>
      <w:r>
        <w:t xml:space="preserve">Dal prospetto si evince che al 31 dicembre 2022 il valore della voce </w:t>
      </w:r>
      <w:r>
        <w:rPr>
          <w:i/>
          <w:iCs/>
        </w:rPr>
        <w:t>Oneri finanziari</w:t>
      </w:r>
      <w:r>
        <w:t xml:space="preserve"> è pari a € 234.750 ed è in crescita del 6% rispetto al 31 dicembre 2021.</w:t>
      </w:r>
    </w:p>
    <w:p>
      <w:pPr>
        <w:pStyle w:val="BodyText"/>
        <w:ind w:leftChars="0" w:left="0" w:right="0"/>
      </w:pPr>
      <w:r>
        <w:t xml:space="preserve">Il grafico seguente mostra l’analisi dell’andamento della voce </w:t>
      </w:r>
      <w:r>
        <w:rPr>
          <w:i/>
          <w:iCs/>
        </w:rPr>
        <w:t>Oneri finanziari</w:t>
      </w:r>
      <w:r>
        <w:t xml:space="preserve"> dal 31 dicembre 2017 al 31 dicembre 2022. Nel periodo evidenziato, il valore medio è stato pari a € 211.158.</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3" name="9b9ba78e1ab7372acd976becd3f0296c.png" descr="_static/temp/9b9ba78e1ab7372acd976becd3f02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9b9ba78e1ab7372acd976becd3f0296c.png" descr="_static/temp/9b9ba78e1ab7372acd976becd3f0296c.png"/>
                    <pic:cNvPicPr>
                      <a:picLocks noChangeAspect="1" noChangeArrowheads="1"/>
                    </pic:cNvPicPr>
                  </pic:nvPicPr>
                  <pic:blipFill>
                    <a:blip xmlns:r="http://schemas.openxmlformats.org/officeDocument/2006/relationships" r:embed="rId11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Oneri finanziari</w:t>
      </w:r>
      <w:r>
        <w:t xml:space="preserve"> al 31 dicembre 2022, la componente più significativa è rappresentata dalla voce </w:t>
      </w:r>
      <w:r>
        <w:rPr>
          <w:i/>
          <w:iCs/>
        </w:rPr>
        <w:t>Interessi passivi su debiti verso banche per mutui</w:t>
      </w:r>
      <w:r>
        <w:t xml:space="preserve"> con un valore pari a 110.000 €. Il grafico seguente visualizza la ripartizione di tutte le componenti della voce </w:t>
      </w:r>
      <w:r>
        <w:rPr>
          <w:i/>
          <w:iCs/>
        </w:rPr>
        <w:t>Oneri finanziari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4" name="bc955127c5fb211f4c0db041a07a6005.png" descr="_static/temp/bc955127c5fb211f4c0db041a07a6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bc955127c5fb211f4c0db041a07a6005.png" descr="_static/temp/bc955127c5fb211f4c0db041a07a6005.png"/>
                    <pic:cNvPicPr>
                      <a:picLocks noChangeAspect="1" noChangeArrowheads="1"/>
                    </pic:cNvPicPr>
                  </pic:nvPicPr>
                  <pic:blipFill>
                    <a:blip xmlns:r="http://schemas.openxmlformats.org/officeDocument/2006/relationships" r:embed="rId117"/>
                    <a:srcRect/>
                    <a:stretch>
                      <a:fillRect/>
                    </a:stretch>
                  </pic:blipFill>
                  <pic:spPr bwMode="auto">
                    <a:xfrm>
                      <a:off x="0" y="0"/>
                      <a:ext cx="6476365" cy="3266766"/>
                    </a:xfrm>
                    <a:prstGeom prst="rect">
                      <a:avLst/>
                    </a:prstGeom>
                    <a:noFill/>
                  </pic:spPr>
                </pic:pic>
              </a:graphicData>
            </a:graphic>
          </wp:inline>
        </w:drawing>
      </w:r>
    </w:p>
    <w:bookmarkEnd w:id="580"/>
    <w:bookmarkEnd w:id="581"/>
    <w:bookmarkStart w:id="582" w:name="_1cca87986c69129e66689ec8a74ff5e7"/>
    <w:bookmarkStart w:id="583" w:name="_5cb5ecdd803b361f7319bd4568496d4f"/>
    <w:p>
      <w:pPr>
        <w:pStyle w:val="Heading3"/>
        <w:keepNext/>
      </w:pPr>
      <w:r>
        <w:t>Utili e perdite su cambi</w:t>
      </w:r>
    </w:p>
    <w:p>
      <w:pPr>
        <w:pStyle w:val="BodyText"/>
        <w:ind w:leftChars="0" w:left="0" w:right="0"/>
      </w:pPr>
      <w:r>
        <w:t xml:space="preserve">La presente sottosezione della </w:t>
      </w:r>
      <w:hyperlink w:anchor="_bd0b1e737cd62cf730c4ec82ce7d1c9a">
        <w:r>
          <w:rPr>
            <w:rStyle w:val="Hyperlink"/>
          </w:rPr>
          <w:t>Gestione finanziaria</w:t>
        </w:r>
      </w:hyperlink>
      <w:r>
        <w:t xml:space="preserve"> è dedicata agli utili e perdite su cambi. Questi rappresentano utili e perdite derivanti da differenze valutarie che si originano da rapporto commerciali o finanziari in ambiti al di fuori dell’area Euro.</w:t>
      </w:r>
    </w:p>
    <w:p>
      <w:pPr>
        <w:pStyle w:val="BodyText"/>
        <w:ind w:leftChars="0" w:left="0" w:right="0"/>
      </w:pPr>
      <w:r>
        <w:t xml:space="preserve">Il prospetto seguente illustra il dettaglio analitico della voce </w:t>
      </w:r>
      <w:r>
        <w:rPr>
          <w:i/>
          <w:iCs/>
        </w:rPr>
        <w:t>Utili e perdite su cambi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5cb5ecdd803b361f7319bd4568496d4f">
              <w:r>
                <w:rPr>
                  <w:rStyle w:val="Hyperlink"/>
                </w:rPr>
                <w:t>Utili/perdite su cambi</w:t>
              </w:r>
            </w:hyperlink>
          </w:p>
        </w:tc>
        <w:tc>
          <w:tcPr>
            <w:cnfStyle w:evenVBand="true" w:oddVBand="false" w:firstColumn="false"/>
            <w:tcW w:w="11.434303%" w:type="pct"/>
          </w:tcPr>
          <w:p>
            <w:pPr>
              <w:pStyle w:val="table-level-1"/>
              <w:ind w:leftChars="0" w:left="0" w:right="0"/>
              <w:keepNext/>
            </w:pPr>
            <w:r>
              <w:t>3,9</w:t>
            </w:r>
          </w:p>
        </w:tc>
        <w:tc>
          <w:tcPr>
            <w:cnfStyle w:evenVBand="false" w:oddVBand="true" w:firstColumn="false"/>
            <w:tcW w:w="11.434303%" w:type="pct"/>
          </w:tcPr>
          <w:p>
            <w:pPr>
              <w:pStyle w:val="table-level-1"/>
              <w:ind w:leftChars="0" w:left="0" w:right="0"/>
              <w:keepNext/>
            </w:pPr>
            <w:r>
              <w:t>3,8</w:t>
            </w:r>
          </w:p>
        </w:tc>
        <w:tc>
          <w:tcPr>
            <w:cnfStyle w:evenVBand="true" w:oddVBand="false" w:firstColumn="false"/>
            <w:tcW w:w="11.434303%" w:type="pct"/>
          </w:tcPr>
          <w:p>
            <w:pPr>
              <w:pStyle w:val="table-level-1"/>
              <w:ind w:leftChars="0" w:left="0" w:right="0"/>
              <w:keepNext/>
            </w:pPr>
            <w:r>
              <w:t>2,9</w:t>
            </w:r>
          </w:p>
        </w:tc>
        <w:tc>
          <w:tcPr>
            <w:cnfStyle w:evenVBand="false" w:oddVBand="true" w:firstColumn="false"/>
            <w:tcW w:w="11.434303%" w:type="pct"/>
          </w:tcPr>
          <w:p>
            <w:pPr>
              <w:pStyle w:val="table-level-1"/>
              <w:ind w:leftChars="0" w:left="0" w:right="0"/>
              <w:keepNext/>
            </w:pPr>
            <w:r>
              <w:t>2,7</w:t>
            </w:r>
          </w:p>
        </w:tc>
        <w:tc>
          <w:tcPr>
            <w:cnfStyle w:evenVBand="true" w:oddVBand="false" w:firstColumn="false"/>
            <w:tcW w:w="11.434303%" w:type="pct"/>
          </w:tcPr>
          <w:p>
            <w:pPr>
              <w:pStyle w:val="table-level-1"/>
              <w:ind w:leftChars="0" w:left="0" w:right="0"/>
              <w:keepNext/>
            </w:pPr>
            <w:r>
              <w:t>4,3</w:t>
            </w:r>
          </w:p>
        </w:tc>
        <w:tc>
          <w:tcPr>
            <w:cnfStyle w:evenVBand="false" w:oddVBand="true" w:firstColumn="false"/>
            <w:tcW w:w="11.434303%" w:type="pct"/>
          </w:tcPr>
          <w:p>
            <w:pPr>
              <w:pStyle w:val="table-level-1"/>
              <w:ind w:leftChars="0" w:left="0" w:right="0"/>
              <w:keepNext/>
            </w:pPr>
            <w:r>
              <w:t>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Utili su cambi</w:t>
            </w:r>
          </w:p>
        </w:tc>
        <w:tc>
          <w:tcPr>
            <w:cnfStyle w:evenVBand="true" w:oddVBand="false" w:firstColumn="false"/>
            <w:tcW w:w="11.434303%" w:type="pct"/>
          </w:tcPr>
          <w:p>
            <w:pPr>
              <w:pStyle w:val="table-level-0"/>
              <w:ind w:leftChars="0" w:left="0" w:right="0"/>
              <w:keepNext/>
            </w:pPr>
            <w:r>
              <w:t>4,5</w:t>
            </w:r>
          </w:p>
        </w:tc>
        <w:tc>
          <w:tcPr>
            <w:cnfStyle w:evenVBand="false" w:oddVBand="true" w:firstColumn="false"/>
            <w:tcW w:w="11.434303%" w:type="pct"/>
          </w:tcPr>
          <w:p>
            <w:pPr>
              <w:pStyle w:val="table-level-0"/>
              <w:ind w:leftChars="0" w:left="0" w:right="0"/>
              <w:keepNext/>
            </w:pPr>
            <w:r>
              <w:t>4</w:t>
            </w:r>
          </w:p>
        </w:tc>
        <w:tc>
          <w:tcPr>
            <w:cnfStyle w:evenVBand="true" w:oddVBand="false" w:firstColumn="false"/>
            <w:tcW w:w="11.434303%" w:type="pct"/>
          </w:tcPr>
          <w:p>
            <w:pPr>
              <w:pStyle w:val="table-level-0"/>
              <w:ind w:leftChars="0" w:left="0" w:right="0"/>
              <w:keepNext/>
            </w:pPr>
            <w:r>
              <w:t>3,8</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7,5</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Perdite su cambi</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-0,2</w:t>
            </w:r>
          </w:p>
        </w:tc>
        <w:tc>
          <w:tcPr>
            <w:cnfStyle w:evenVBand="true" w:oddVBand="false" w:firstColumn="false"/>
            <w:tcW w:w="11.434303%" w:type="pct"/>
          </w:tcPr>
          <w:p>
            <w:pPr>
              <w:pStyle w:val="table-level-0"/>
              <w:ind w:leftChars="0" w:left="0" w:right="0"/>
              <w:keepNext/>
            </w:pPr>
            <w:r>
              <w:t>-0,9</w:t>
            </w:r>
          </w:p>
        </w:tc>
        <w:tc>
          <w:tcPr>
            <w:cnfStyle w:evenVBand="false" w:oddVBand="true" w:firstColumn="false"/>
            <w:tcW w:w="11.434303%" w:type="pct"/>
          </w:tcPr>
          <w:p>
            <w:pPr>
              <w:pStyle w:val="table-level-0"/>
              <w:ind w:leftChars="0" w:left="0" w:right="0"/>
              <w:keepNext/>
            </w:pPr>
            <w:r>
              <w:t>-0,8</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-1</w:t>
            </w:r>
          </w:p>
        </w:tc>
      </w:tr>
    </w:tbl>
    <w:p>
      <w:pPr>
        <w:pStyle w:val="TableBottomMargin"/>
      </w:pPr>
    </w:p>
    <w:p>
      <w:pPr>
        <w:pStyle w:val="BodyText"/>
        <w:ind w:leftChars="0" w:left="0" w:right="0"/>
      </w:pPr>
      <w:r>
        <w:t xml:space="preserve">Dal prospetto si evince che al 31 dicembre 2022 il valore della voce </w:t>
      </w:r>
      <w:r>
        <w:rPr>
          <w:i/>
          <w:iCs/>
        </w:rPr>
        <w:t>Utili e perdite su cambi</w:t>
      </w:r>
      <w:r>
        <w:t xml:space="preserve"> è pari a € 3.900 ed è in crescita del 3% rispetto al 31 dicembre 2021.</w:t>
      </w:r>
    </w:p>
    <w:p>
      <w:pPr>
        <w:pStyle w:val="BodyText"/>
        <w:ind w:leftChars="0" w:left="0" w:right="0"/>
      </w:pPr>
      <w:r>
        <w:t xml:space="preserve">Il grafico seguente mostra l’analisi dell’andamento della voce </w:t>
      </w:r>
      <w:r>
        <w:rPr>
          <w:i/>
          <w:iCs/>
        </w:rPr>
        <w:t>Utili e perdite su cambi</w:t>
      </w:r>
      <w:r>
        <w:t xml:space="preserve"> dal 31 dicembre 2017 al 31 dicembre 2022. Nel periodo evidenziato, il valore medio è stato pari a € 4.017.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5" name="1c5cc8cd3ef1601716b9ae26005962a7.png" descr="_static/temp/1c5cc8cd3ef1601716b9ae26005962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1c5cc8cd3ef1601716b9ae26005962a7.png" descr="_static/temp/1c5cc8cd3ef1601716b9ae26005962a7.png"/>
                    <pic:cNvPicPr>
                      <a:picLocks noChangeAspect="1" noChangeArrowheads="1"/>
                    </pic:cNvPicPr>
                  </pic:nvPicPr>
                  <pic:blipFill>
                    <a:blip xmlns:r="http://schemas.openxmlformats.org/officeDocument/2006/relationships" r:embed="rId11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Utili e perdite su cambi</w:t>
      </w:r>
      <w:r>
        <w:t xml:space="preserve"> al 31 dicembre 2022, la componente più significativa è rappresentata dalla voce </w:t>
      </w:r>
      <w:r>
        <w:rPr>
          <w:i/>
          <w:iCs/>
        </w:rPr>
        <w:t>Utili su cambi</w:t>
      </w:r>
      <w:r>
        <w:t xml:space="preserve"> con un valore pari a 4.500 €. Il grafico seguente visualizza la ripartizione di tutte le componenti della voce </w:t>
      </w:r>
      <w:r>
        <w:rPr>
          <w:i/>
          <w:iCs/>
        </w:rPr>
        <w:t>Utili e perdite su cambi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6" name="9c073e9f3ec809fbb52913274c829c79.png" descr="_static/temp/9c073e9f3ec809fbb52913274c829c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9c073e9f3ec809fbb52913274c829c79.png" descr="_static/temp/9c073e9f3ec809fbb52913274c829c79.png"/>
                    <pic:cNvPicPr>
                      <a:picLocks noChangeAspect="1" noChangeArrowheads="1"/>
                    </pic:cNvPicPr>
                  </pic:nvPicPr>
                  <pic:blipFill>
                    <a:blip xmlns:r="http://schemas.openxmlformats.org/officeDocument/2006/relationships" r:embed="rId119"/>
                    <a:srcRect/>
                    <a:stretch>
                      <a:fillRect/>
                    </a:stretch>
                  </pic:blipFill>
                  <pic:spPr bwMode="auto">
                    <a:xfrm>
                      <a:off x="0" y="0"/>
                      <a:ext cx="6476365" cy="3266766"/>
                    </a:xfrm>
                    <a:prstGeom prst="rect">
                      <a:avLst/>
                    </a:prstGeom>
                    <a:noFill/>
                  </pic:spPr>
                </pic:pic>
              </a:graphicData>
            </a:graphic>
          </wp:inline>
        </w:drawing>
      </w:r>
    </w:p>
    <w:bookmarkEnd w:id="582"/>
    <w:bookmarkEnd w:id="583"/>
    <w:bookmarkStart w:id="584" w:name="_df2989a6a3abc921a21d9cfca093cc64"/>
    <w:bookmarkStart w:id="585" w:name="_d2b102cde39ff330544243511b5a7889"/>
    <w:p>
      <w:pPr>
        <w:pStyle w:val="Heading3"/>
        <w:keepNext/>
      </w:pPr>
      <w:r>
        <w:t>Rivalutazioni e svalutazioni di attività finanziarie</w:t>
      </w:r>
    </w:p>
    <w:p>
      <w:pPr>
        <w:pStyle w:val="BodyText"/>
        <w:ind w:leftChars="0" w:left="0" w:right="0"/>
      </w:pPr>
      <w:r>
        <w:t xml:space="preserve">La presente sottosezione della </w:t>
      </w:r>
      <w:hyperlink w:anchor="_bd0b1e737cd62cf730c4ec82ce7d1c9a">
        <w:r>
          <w:rPr>
            <w:rStyle w:val="Hyperlink"/>
          </w:rPr>
          <w:t>Gestione finanziaria</w:t>
        </w:r>
      </w:hyperlink>
      <w:r>
        <w:t xml:space="preserve"> è dedicata alle rivalutazioni e svalutazioni di attività finanziarie.</w:t>
      </w:r>
    </w:p>
    <w:p>
      <w:pPr>
        <w:pStyle w:val="BodyText"/>
        <w:ind w:leftChars="0" w:left="0" w:right="0"/>
      </w:pPr>
      <w:r>
        <w:t xml:space="preserve">Il prospetto seguente illustra il dettaglio analitico della voce </w:t>
      </w:r>
      <w:r>
        <w:rPr>
          <w:i/>
          <w:iCs/>
        </w:rPr>
        <w:t>Rivalutazioni e svalutazioni di attività finanziarie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d2b102cde39ff330544243511b5a7889">
              <w:r>
                <w:rPr>
                  <w:rStyle w:val="Hyperlink"/>
                </w:rPr>
                <w:t>Riv./svalutazioni finanziarie</w:t>
              </w:r>
            </w:hyperlink>
          </w:p>
        </w:tc>
        <w:tc>
          <w:tcPr>
            <w:cnfStyle w:evenVBand="true" w:oddVBand="false" w:firstColumn="false"/>
            <w:tcW w:w="11.434303%" w:type="pct"/>
          </w:tcPr>
          <w:p>
            <w:pPr>
              <w:pStyle w:val="table-level-1"/>
              <w:ind w:leftChars="0" w:left="0" w:right="0"/>
              <w:keepNext/>
            </w:pPr>
            <w:r>
              <w:t>1,3</w:t>
            </w:r>
          </w:p>
        </w:tc>
        <w:tc>
          <w:tcPr>
            <w:cnfStyle w:evenVBand="false" w:oddVBand="true" w:firstColumn="false"/>
            <w:tcW w:w="11.434303%" w:type="pct"/>
          </w:tcPr>
          <w:p>
            <w:pPr>
              <w:pStyle w:val="table-level-1"/>
              <w:ind w:leftChars="0" w:left="0" w:right="0"/>
              <w:keepNext/>
            </w:pPr>
            <w:r>
              <w:t>-2,1</w:t>
            </w:r>
          </w:p>
        </w:tc>
        <w:tc>
          <w:tcPr>
            <w:cnfStyle w:evenVBand="true" w:oddVBand="false" w:firstColumn="false"/>
            <w:tcW w:w="11.434303%" w:type="pct"/>
          </w:tcPr>
          <w:p>
            <w:pPr>
              <w:pStyle w:val="table-level-1"/>
              <w:ind w:leftChars="0" w:left="0" w:right="0"/>
              <w:keepNext/>
            </w:pPr>
            <w:r>
              <w:t>-1,3</w:t>
            </w:r>
          </w:p>
        </w:tc>
        <w:tc>
          <w:tcPr>
            <w:cnfStyle w:evenVBand="false" w:oddVBand="true" w:firstColumn="false"/>
            <w:tcW w:w="11.434303%" w:type="pct"/>
          </w:tcPr>
          <w:p>
            <w:pPr>
              <w:pStyle w:val="table-level-1"/>
              <w:ind w:leftChars="0" w:left="0" w:right="0"/>
              <w:keepNext/>
            </w:pPr>
            <w:r>
              <w:t>-1,2</w:t>
            </w:r>
          </w:p>
        </w:tc>
        <w:tc>
          <w:tcPr>
            <w:cnfStyle w:evenVBand="true" w:oddVBand="false" w:firstColumn="false"/>
            <w:tcW w:w="11.434303%" w:type="pct"/>
          </w:tcPr>
          <w:p>
            <w:pPr>
              <w:pStyle w:val="table-level-1"/>
              <w:ind w:leftChars="0" w:left="0" w:right="0"/>
              <w:keepNext/>
            </w:pPr>
            <w:r>
              <w:t>1,5</w:t>
            </w:r>
          </w:p>
        </w:tc>
        <w:tc>
          <w:tcPr>
            <w:cnfStyle w:evenVBand="false" w:oddVBand="true" w:firstColumn="false"/>
            <w:tcW w:w="11.434303%" w:type="pct"/>
          </w:tcPr>
          <w:p>
            <w:pPr>
              <w:pStyle w:val="table-level-1"/>
              <w:ind w:leftChars="0" w:left="0" w:right="0"/>
              <w:keepNext/>
            </w:pPr>
            <w:r>
              <w:t>0,6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Rivalutazioni attività finanziarie</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1,2</w:t>
            </w:r>
          </w:p>
        </w:tc>
        <w:tc>
          <w:tcPr>
            <w:cnfStyle w:evenVBand="true" w:oddVBand="false" w:firstColumn="false"/>
            <w:tcW w:w="11.434303%" w:type="pct"/>
          </w:tcPr>
          <w:p>
            <w:pPr>
              <w:pStyle w:val="table-level-0"/>
              <w:ind w:leftChars="0" w:left="0" w:right="0"/>
              <w:keepNext/>
            </w:pPr>
            <w:r>
              <w:t>1,7</w:t>
            </w:r>
          </w:p>
        </w:tc>
        <w:tc>
          <w:tcPr>
            <w:cnfStyle w:evenVBand="false" w:oddVBand="true" w:firstColumn="false"/>
            <w:tcW w:w="11.434303%" w:type="pct"/>
          </w:tcPr>
          <w:p>
            <w:pPr>
              <w:pStyle w:val="table-level-0"/>
              <w:ind w:leftChars="0" w:left="0" w:right="0"/>
              <w:keepNext/>
            </w:pPr>
            <w:r>
              <w:t>0,8</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Svalutazioni attività finanziarie</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-3,5</w:t>
            </w:r>
          </w:p>
        </w:tc>
        <w:tc>
          <w:tcPr>
            <w:cnfStyle w:evenVBand="true" w:oddVBand="false" w:firstColumn="false"/>
            <w:tcW w:w="11.434303%" w:type="pct"/>
          </w:tcPr>
          <w:p>
            <w:pPr>
              <w:pStyle w:val="table-level-0"/>
              <w:ind w:leftChars="0" w:left="0" w:right="0"/>
              <w:keepNext/>
            </w:pPr>
            <w:r>
              <w:t>-3</w:t>
            </w:r>
          </w:p>
        </w:tc>
        <w:tc>
          <w:tcPr>
            <w:cnfStyle w:evenVBand="false" w:oddVBand="true" w:firstColumn="false"/>
            <w:tcW w:w="11.434303%" w:type="pct"/>
          </w:tcPr>
          <w:p>
            <w:pPr>
              <w:pStyle w:val="table-level-0"/>
              <w:ind w:leftChars="0" w:left="0" w:right="0"/>
              <w:keepNext/>
            </w:pPr>
            <w:r>
              <w:t>-2,4</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-0,2</w:t>
            </w:r>
          </w:p>
        </w:tc>
      </w:tr>
    </w:tbl>
    <w:p>
      <w:pPr>
        <w:pStyle w:val="TableBottomMargin"/>
      </w:pPr>
    </w:p>
    <w:p>
      <w:pPr>
        <w:pStyle w:val="BodyText"/>
        <w:ind w:leftChars="0" w:left="0" w:right="0"/>
      </w:pPr>
      <w:r>
        <w:t xml:space="preserve">Dal prospetto si evince che al 31 dicembre 2022 il valore della voce </w:t>
      </w:r>
      <w:r>
        <w:rPr>
          <w:i/>
          <w:iCs/>
        </w:rPr>
        <w:t>Rivalutazioni e svalutazioni di attività finanziarie</w:t>
      </w:r>
      <w:r>
        <w:t xml:space="preserve"> è pari a € 1.300.</w:t>
      </w:r>
    </w:p>
    <w:br w:type="page"/>
    <w:bookmarkEnd w:id="584"/>
    <w:bookmarkEnd w:id="585"/>
    <w:bookmarkEnd w:id="576"/>
    <w:bookmarkEnd w:id="577"/>
    <w:bookmarkStart w:id="586" w:name="_a5bbe4b8fe8bf0b2d77c1fffa37ee76d"/>
    <w:bookmarkStart w:id="587" w:name="_75826aa58a15c06d0dbd86ecde6802c7"/>
    <w:p>
      <w:pPr>
        <w:pStyle w:val="Heading2"/>
        <w:keepNext/>
      </w:pPr>
      <w:r>
        <w:t>Gestione fiscale</w:t>
      </w:r>
    </w:p>
    <w:p>
      <w:pPr>
        <w:pStyle w:val="BodyText"/>
        <w:ind w:leftChars="0" w:left="0" w:right="0"/>
      </w:pPr>
      <w:r>
        <w:t xml:space="preserve">La presente sottosezione del </w:t>
      </w:r>
      <w:hyperlink w:anchor="_2facdeaf2d2be050e60a4484776d93df">
        <w:r>
          <w:rPr>
            <w:rStyle w:val="Hyperlink"/>
          </w:rPr>
          <w:t>Conto economico</w:t>
        </w:r>
      </w:hyperlink>
      <w:r>
        <w:t xml:space="preserve"> è dedicata alla Gestione fiscale. Questa rappresenta l’area a cui sono riconducibili le imposte di competenza di ciascun esercizio.</w:t>
      </w:r>
    </w:p>
    <w:p>
      <w:pPr>
        <w:pStyle w:val="BodyText"/>
        <w:ind w:leftChars="0" w:left="0" w:right="0"/>
      </w:pPr>
      <w:r>
        <w:t xml:space="preserve">Il prospetto seguente illustra il dettaglio analitico delle determinanti della voce </w:t>
      </w:r>
      <w:r>
        <w:rPr>
          <w:i/>
          <w:iCs/>
        </w:rPr>
        <w:t>Risultato del periodo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300"/>
              <w:ind w:leftChars="0" w:left="0" w:right="0"/>
              <w:keepNext/>
            </w:pPr>
            <w:hyperlink w:anchor="_bd0b1e737cd62cf730c4ec82ce7d1c9a">
              <w:r>
                <w:rPr>
                  <w:rStyle w:val="Hyperlink"/>
                </w:rPr>
                <w:t>Reddito ante imposte</w:t>
              </w:r>
            </w:hyperlink>
          </w:p>
        </w:tc>
        <w:tc>
          <w:tcPr>
            <w:cnfStyle w:evenVBand="true" w:oddVBand="false" w:firstColumn="false"/>
            <w:tcW w:w="11.434303%" w:type="pct"/>
          </w:tcPr>
          <w:p>
            <w:pPr>
              <w:pStyle w:val="table-level-300"/>
              <w:ind w:leftChars="0" w:left="0" w:right="0"/>
              <w:keepNext/>
            </w:pPr>
            <w:r>
              <w:t>949</w:t>
            </w:r>
          </w:p>
        </w:tc>
        <w:tc>
          <w:tcPr>
            <w:cnfStyle w:evenVBand="false" w:oddVBand="true" w:firstColumn="false"/>
            <w:tcW w:w="11.434303%" w:type="pct"/>
          </w:tcPr>
          <w:p>
            <w:pPr>
              <w:pStyle w:val="table-level-300"/>
              <w:ind w:leftChars="0" w:left="0" w:right="0"/>
              <w:keepNext/>
            </w:pPr>
            <w:r>
              <w:t>1.194</w:t>
            </w:r>
          </w:p>
        </w:tc>
        <w:tc>
          <w:tcPr>
            <w:cnfStyle w:evenVBand="true" w:oddVBand="false" w:firstColumn="false"/>
            <w:tcW w:w="11.434303%" w:type="pct"/>
          </w:tcPr>
          <w:p>
            <w:pPr>
              <w:pStyle w:val="table-level-300"/>
              <w:ind w:leftChars="0" w:left="0" w:right="0"/>
              <w:keepNext/>
            </w:pPr>
            <w:r>
              <w:t>1.300</w:t>
            </w:r>
          </w:p>
        </w:tc>
        <w:tc>
          <w:tcPr>
            <w:cnfStyle w:evenVBand="false" w:oddVBand="true" w:firstColumn="false"/>
            <w:tcW w:w="11.434303%" w:type="pct"/>
          </w:tcPr>
          <w:p>
            <w:pPr>
              <w:pStyle w:val="table-level-300"/>
              <w:ind w:leftChars="0" w:left="0" w:right="0"/>
              <w:keepNext/>
            </w:pPr>
            <w:r>
              <w:t>1.010</w:t>
            </w:r>
          </w:p>
        </w:tc>
        <w:tc>
          <w:tcPr>
            <w:cnfStyle w:evenVBand="true" w:oddVBand="false" w:firstColumn="false"/>
            <w:tcW w:w="11.434303%" w:type="pct"/>
          </w:tcPr>
          <w:p>
            <w:pPr>
              <w:pStyle w:val="table-level-300"/>
              <w:ind w:leftChars="0" w:left="0" w:right="0"/>
              <w:keepNext/>
            </w:pPr>
            <w:r>
              <w:t>493,6</w:t>
            </w:r>
          </w:p>
        </w:tc>
        <w:tc>
          <w:tcPr>
            <w:cnfStyle w:evenVBand="false" w:oddVBand="true" w:firstColumn="false"/>
            <w:tcW w:w="11.434303%" w:type="pct"/>
          </w:tcPr>
          <w:p>
            <w:pPr>
              <w:pStyle w:val="table-level-300"/>
              <w:ind w:leftChars="0" w:left="0" w:right="0"/>
              <w:keepNext/>
            </w:pPr>
            <w:r>
              <w:t>734,6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Imposte dell’esercizio</w:t>
            </w:r>
          </w:p>
        </w:tc>
        <w:tc>
          <w:tcPr>
            <w:cnfStyle w:evenVBand="true" w:oddVBand="false" w:firstColumn="false"/>
            <w:tcW w:w="11.434303%" w:type="pct"/>
          </w:tcPr>
          <w:p>
            <w:pPr>
              <w:pStyle w:val="table-level-1"/>
              <w:ind w:leftChars="0" w:left="0" w:right="0"/>
              <w:keepNext/>
            </w:pPr>
            <w:r>
              <w:t>-270,1</w:t>
            </w:r>
          </w:p>
        </w:tc>
        <w:tc>
          <w:tcPr>
            <w:cnfStyle w:evenVBand="false" w:oddVBand="true" w:firstColumn="false"/>
            <w:tcW w:w="11.434303%" w:type="pct"/>
          </w:tcPr>
          <w:p>
            <w:pPr>
              <w:pStyle w:val="table-level-1"/>
              <w:ind w:leftChars="0" w:left="0" w:right="0"/>
              <w:keepNext/>
            </w:pPr>
            <w:r>
              <w:t>-343,9</w:t>
            </w:r>
          </w:p>
        </w:tc>
        <w:tc>
          <w:tcPr>
            <w:cnfStyle w:evenVBand="true" w:oddVBand="false" w:firstColumn="false"/>
            <w:tcW w:w="11.434303%" w:type="pct"/>
          </w:tcPr>
          <w:p>
            <w:pPr>
              <w:pStyle w:val="table-level-1"/>
              <w:ind w:leftChars="0" w:left="0" w:right="0"/>
              <w:keepNext/>
            </w:pPr>
            <w:r>
              <w:t>-375,5</w:t>
            </w:r>
          </w:p>
        </w:tc>
        <w:tc>
          <w:tcPr>
            <w:cnfStyle w:evenVBand="false" w:oddVBand="true" w:firstColumn="false"/>
            <w:tcW w:w="11.434303%" w:type="pct"/>
          </w:tcPr>
          <w:p>
            <w:pPr>
              <w:pStyle w:val="table-level-1"/>
              <w:ind w:leftChars="0" w:left="0" w:right="0"/>
              <w:keepNext/>
            </w:pPr>
            <w:r>
              <w:t>-292,5</w:t>
            </w:r>
          </w:p>
        </w:tc>
        <w:tc>
          <w:tcPr>
            <w:cnfStyle w:evenVBand="true" w:oddVBand="false" w:firstColumn="false"/>
            <w:tcW w:w="11.434303%" w:type="pct"/>
          </w:tcPr>
          <w:p>
            <w:pPr>
              <w:pStyle w:val="table-level-1"/>
              <w:ind w:leftChars="0" w:left="0" w:right="0"/>
              <w:keepNext/>
            </w:pPr>
            <w:r>
              <w:t>-164,3</w:t>
            </w:r>
          </w:p>
        </w:tc>
        <w:tc>
          <w:tcPr>
            <w:cnfStyle w:evenVBand="false" w:oddVBand="true" w:firstColumn="false"/>
            <w:tcW w:w="11.434303%" w:type="pct"/>
          </w:tcPr>
          <w:p>
            <w:pPr>
              <w:pStyle w:val="table-level-1"/>
              <w:ind w:leftChars="0" w:left="0" w:right="0"/>
              <w:keepNext/>
            </w:pPr>
            <w:r>
              <w:t>-197,7</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c25c68c33f0dd833878097b72d1d900f">
              <w:r>
                <w:rPr>
                  <w:rStyle w:val="Hyperlink"/>
                </w:rPr>
                <w:t>Imposte correnti</w:t>
              </w:r>
            </w:hyperlink>
          </w:p>
        </w:tc>
        <w:tc>
          <w:tcPr>
            <w:cnfStyle w:evenVBand="true" w:oddVBand="false" w:firstColumn="false"/>
            <w:tcW w:w="11.434303%" w:type="pct"/>
          </w:tcPr>
          <w:p>
            <w:pPr>
              <w:pStyle w:val="table-level-0"/>
              <w:ind w:leftChars="0" w:left="0" w:right="0"/>
              <w:keepNext/>
            </w:pPr>
            <w:r>
              <w:t>-275,1</w:t>
            </w:r>
          </w:p>
        </w:tc>
        <w:tc>
          <w:tcPr>
            <w:cnfStyle w:evenVBand="false" w:oddVBand="true" w:firstColumn="false"/>
            <w:tcW w:w="11.434303%" w:type="pct"/>
          </w:tcPr>
          <w:p>
            <w:pPr>
              <w:pStyle w:val="table-level-0"/>
              <w:ind w:leftChars="0" w:left="0" w:right="0"/>
              <w:keepNext/>
            </w:pPr>
            <w:r>
              <w:t>-345,9</w:t>
            </w:r>
          </w:p>
        </w:tc>
        <w:tc>
          <w:tcPr>
            <w:cnfStyle w:evenVBand="true" w:oddVBand="false" w:firstColumn="false"/>
            <w:tcW w:w="11.434303%" w:type="pct"/>
          </w:tcPr>
          <w:p>
            <w:pPr>
              <w:pStyle w:val="table-level-0"/>
              <w:ind w:leftChars="0" w:left="0" w:right="0"/>
              <w:keepNext/>
            </w:pPr>
            <w:r>
              <w:t>-376,5</w:t>
            </w:r>
          </w:p>
        </w:tc>
        <w:tc>
          <w:tcPr>
            <w:cnfStyle w:evenVBand="false" w:oddVBand="true" w:firstColumn="false"/>
            <w:tcW w:w="11.434303%" w:type="pct"/>
          </w:tcPr>
          <w:p>
            <w:pPr>
              <w:pStyle w:val="table-level-0"/>
              <w:ind w:leftChars="0" w:left="0" w:right="0"/>
              <w:keepNext/>
            </w:pPr>
            <w:r>
              <w:t>-292,5</w:t>
            </w:r>
          </w:p>
        </w:tc>
        <w:tc>
          <w:tcPr>
            <w:cnfStyle w:evenVBand="true" w:oddVBand="false" w:firstColumn="false"/>
            <w:tcW w:w="11.434303%" w:type="pct"/>
          </w:tcPr>
          <w:p>
            <w:pPr>
              <w:pStyle w:val="table-level-0"/>
              <w:ind w:leftChars="0" w:left="0" w:right="0"/>
              <w:keepNext/>
            </w:pPr>
            <w:r>
              <w:t>-145,8</w:t>
            </w:r>
          </w:p>
        </w:tc>
        <w:tc>
          <w:tcPr>
            <w:cnfStyle w:evenVBand="false" w:oddVBand="true" w:firstColumn="false"/>
            <w:tcW w:w="11.434303%" w:type="pct"/>
          </w:tcPr>
          <w:p>
            <w:pPr>
              <w:pStyle w:val="table-level-0"/>
              <w:ind w:leftChars="0" w:left="0" w:right="0"/>
              <w:keepNext/>
            </w:pPr>
            <w:r>
              <w:t>-216,3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hyperlink w:anchor="_74122e634a3e69101ab2f0b17cff61ca">
              <w:r>
                <w:rPr>
                  <w:rStyle w:val="Hyperlink"/>
                </w:rPr>
                <w:t>Imposte differite e anticipate</w:t>
              </w:r>
            </w:hyperlink>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-18,5</w:t>
            </w:r>
          </w:p>
        </w:tc>
        <w:tc>
          <w:tcPr>
            <w:cnfStyle w:evenVBand="false" w:oddVBand="true" w:firstColumn="false"/>
            <w:tcW w:w="11.434303%" w:type="pct"/>
          </w:tcPr>
          <w:p>
            <w:pPr>
              <w:pStyle w:val="table-level-0"/>
              <w:ind w:leftChars="0" w:left="0" w:right="0"/>
              <w:keepNext/>
            </w:pPr>
            <w:r>
              <w:t>18,6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hyperlink w:anchor="_0e668cdabed72cb77effca8d8cd5d6f4">
              <w:r>
                <w:rPr>
                  <w:rStyle w:val="Hyperlink"/>
                </w:rPr>
                <w:t>Proventi/oneri consolidato</w:t>
              </w:r>
            </w:hyperlink>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1</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300"/>
              <w:ind w:leftChars="0" w:left="0" w:right="0"/>
              <w:keepNext/>
            </w:pPr>
            <w:hyperlink w:anchor="_75826aa58a15c06d0dbd86ecde6802c7">
              <w:r>
                <w:rPr>
                  <w:rStyle w:val="Hyperlink"/>
                </w:rPr>
                <w:t>Risultato del periodo</w:t>
              </w:r>
            </w:hyperlink>
          </w:p>
        </w:tc>
        <w:tc>
          <w:tcPr>
            <w:cnfStyle w:evenVBand="true" w:oddVBand="false" w:firstColumn="false"/>
            <w:tcW w:w="11.434303%" w:type="pct"/>
          </w:tcPr>
          <w:p>
            <w:pPr>
              <w:pStyle w:val="table-level-300"/>
              <w:ind w:leftChars="0" w:left="0" w:right="0"/>
              <w:keepNext/>
            </w:pPr>
            <w:r>
              <w:t>678,9</w:t>
            </w:r>
          </w:p>
        </w:tc>
        <w:tc>
          <w:tcPr>
            <w:cnfStyle w:evenVBand="false" w:oddVBand="true" w:firstColumn="false"/>
            <w:tcW w:w="11.434303%" w:type="pct"/>
          </w:tcPr>
          <w:p>
            <w:pPr>
              <w:pStyle w:val="table-level-300"/>
              <w:ind w:leftChars="0" w:left="0" w:right="0"/>
              <w:keepNext/>
            </w:pPr>
            <w:r>
              <w:t>850,5</w:t>
            </w:r>
          </w:p>
        </w:tc>
        <w:tc>
          <w:tcPr>
            <w:cnfStyle w:evenVBand="true" w:oddVBand="false" w:firstColumn="false"/>
            <w:tcW w:w="11.434303%" w:type="pct"/>
          </w:tcPr>
          <w:p>
            <w:pPr>
              <w:pStyle w:val="table-level-300"/>
              <w:ind w:leftChars="0" w:left="0" w:right="0"/>
              <w:keepNext/>
            </w:pPr>
            <w:r>
              <w:t>924,4</w:t>
            </w:r>
          </w:p>
        </w:tc>
        <w:tc>
          <w:tcPr>
            <w:cnfStyle w:evenVBand="false" w:oddVBand="true" w:firstColumn="false"/>
            <w:tcW w:w="11.434303%" w:type="pct"/>
          </w:tcPr>
          <w:p>
            <w:pPr>
              <w:pStyle w:val="table-level-300"/>
              <w:ind w:leftChars="0" w:left="0" w:right="0"/>
              <w:keepNext/>
            </w:pPr>
            <w:r>
              <w:t>717,3</w:t>
            </w:r>
          </w:p>
        </w:tc>
        <w:tc>
          <w:tcPr>
            <w:cnfStyle w:evenVBand="true" w:oddVBand="false" w:firstColumn="false"/>
            <w:tcW w:w="11.434303%" w:type="pct"/>
          </w:tcPr>
          <w:p>
            <w:pPr>
              <w:pStyle w:val="table-level-300"/>
              <w:ind w:leftChars="0" w:left="0" w:right="0"/>
              <w:keepNext/>
            </w:pPr>
            <w:r>
              <w:t>329,2</w:t>
            </w:r>
          </w:p>
        </w:tc>
        <w:tc>
          <w:tcPr>
            <w:cnfStyle w:evenVBand="false" w:oddVBand="true" w:firstColumn="false"/>
            <w:tcW w:w="11.434303%" w:type="pct"/>
          </w:tcPr>
          <w:p>
            <w:pPr>
              <w:pStyle w:val="table-level-300"/>
              <w:ind w:leftChars="0" w:left="0" w:right="0"/>
              <w:keepNext/>
            </w:pPr>
            <w:r>
              <w:t>536,9</w:t>
            </w:r>
          </w:p>
        </w:tc>
      </w:tr>
    </w:tbl>
    <w:p>
      <w:pPr>
        <w:pStyle w:val="TableBottomMargin"/>
      </w:pPr>
    </w:p>
    <w:p>
      <w:pPr>
        <w:pStyle w:val="BodyText"/>
        <w:ind w:leftChars="0" w:left="0" w:right="0"/>
      </w:pPr>
      <w:r>
        <w:t xml:space="preserve">Dal prospetto si evince che al 31 dicembre 2022 il valore della voce </w:t>
      </w:r>
      <w:r>
        <w:rPr>
          <w:i/>
          <w:iCs/>
        </w:rPr>
        <w:t>Risultato del periodo</w:t>
      </w:r>
      <w:r>
        <w:t xml:space="preserve"> è pari a € 678.886 ed è in diminuzione del 20% rispetto al 31 dicembre 2021.</w:t>
      </w:r>
    </w:p>
    <w:p>
      <w:pPr>
        <w:pStyle w:val="BodyText"/>
        <w:ind w:leftChars="0" w:left="0" w:right="0"/>
      </w:pPr>
      <w:r>
        <w:t xml:space="preserve">Il grafico seguente mostra l’analisi dell’andamento della voce </w:t>
      </w:r>
      <w:r>
        <w:rPr>
          <w:i/>
          <w:iCs/>
        </w:rPr>
        <w:t>Risultato del periodo</w:t>
      </w:r>
      <w:r>
        <w:t xml:space="preserve"> dal 31 dicembre 2017 al 31 dicembre 2022. Nel periodo evidenziato, il valore medio è stato pari a € 672.861.</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7" name="c8160f01facac8c5695c2d819ea8862f.png" descr="_static/temp/c8160f01facac8c5695c2d819ea886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8160f01facac8c5695c2d819ea8862f.png" descr="_static/temp/c8160f01facac8c5695c2d819ea8862f.png"/>
                    <pic:cNvPicPr>
                      <a:picLocks noChangeAspect="1" noChangeArrowheads="1"/>
                    </pic:cNvPicPr>
                  </pic:nvPicPr>
                  <pic:blipFill>
                    <a:blip xmlns:r="http://schemas.openxmlformats.org/officeDocument/2006/relationships" r:embed="rId120"/>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Risultato del periodo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8" name="d906c6127d02370cea167860196be5af.png" descr="_static/temp/d906c6127d02370cea167860196be5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906c6127d02370cea167860196be5af.png" descr="_static/temp/d906c6127d02370cea167860196be5af.png"/>
                    <pic:cNvPicPr>
                      <a:picLocks noChangeAspect="1" noChangeArrowheads="1"/>
                    </pic:cNvPicPr>
                  </pic:nvPicPr>
                  <pic:blipFill>
                    <a:blip xmlns:r="http://schemas.openxmlformats.org/officeDocument/2006/relationships" r:embed="rId121"/>
                    <a:srcRect/>
                    <a:stretch>
                      <a:fillRect/>
                    </a:stretch>
                  </pic:blipFill>
                  <pic:spPr bwMode="auto">
                    <a:xfrm>
                      <a:off x="0" y="0"/>
                      <a:ext cx="6476365" cy="3266766"/>
                    </a:xfrm>
                    <a:prstGeom prst="rect">
                      <a:avLst/>
                    </a:prstGeom>
                    <a:noFill/>
                  </pic:spPr>
                </pic:pic>
              </a:graphicData>
            </a:graphic>
          </wp:inline>
        </w:drawing>
      </w:r>
    </w:p>
    <w:bookmarkStart w:id="588" w:name="_32351482072ed89f04106668c34233cc"/>
    <w:bookmarkStart w:id="589" w:name="_c25c68c33f0dd833878097b72d1d900f"/>
    <w:p>
      <w:pPr>
        <w:pStyle w:val="Heading3"/>
        <w:keepNext/>
      </w:pPr>
      <w:r>
        <w:t>Imposte correnti</w:t>
      </w:r>
    </w:p>
    <w:p>
      <w:pPr>
        <w:pStyle w:val="BodyText"/>
        <w:ind w:leftChars="0" w:left="0" w:right="0"/>
      </w:pPr>
      <w:r>
        <w:t xml:space="preserve">La presente sottosezione della </w:t>
      </w:r>
      <w:hyperlink w:anchor="_75826aa58a15c06d0dbd86ecde6802c7">
        <w:r>
          <w:rPr>
            <w:rStyle w:val="Hyperlink"/>
          </w:rPr>
          <w:t>Gestione fiscale</w:t>
        </w:r>
      </w:hyperlink>
      <w:r>
        <w:t xml:space="preserve"> è dedicata alle imposte correnti. Queste rappresentano imposte sul reddito corrente, principalmente IRES e IRAP.</w:t>
      </w:r>
    </w:p>
    <w:p>
      <w:pPr>
        <w:pStyle w:val="BodyText"/>
        <w:ind w:leftChars="0" w:left="0" w:right="0"/>
      </w:pPr>
      <w:r>
        <w:t xml:space="preserve">Il prospetto seguente illustra il dettaglio analitico della voce </w:t>
      </w:r>
      <w:r>
        <w:rPr>
          <w:i/>
          <w:iCs/>
        </w:rPr>
        <w:t>Imposte correnti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25c68c33f0dd833878097b72d1d900f">
              <w:r>
                <w:rPr>
                  <w:rStyle w:val="Hyperlink"/>
                </w:rPr>
                <w:t>Imposte correnti</w:t>
              </w:r>
            </w:hyperlink>
          </w:p>
        </w:tc>
        <w:tc>
          <w:tcPr>
            <w:cnfStyle w:evenVBand="true" w:oddVBand="false" w:firstColumn="false"/>
            <w:tcW w:w="11.434303%" w:type="pct"/>
          </w:tcPr>
          <w:p>
            <w:pPr>
              <w:pStyle w:val="table-level-1"/>
              <w:ind w:leftChars="0" w:left="0" w:right="0"/>
              <w:keepNext/>
            </w:pPr>
            <w:r>
              <w:t>275,1</w:t>
            </w:r>
          </w:p>
        </w:tc>
        <w:tc>
          <w:tcPr>
            <w:cnfStyle w:evenVBand="false" w:oddVBand="true" w:firstColumn="false"/>
            <w:tcW w:w="11.434303%" w:type="pct"/>
          </w:tcPr>
          <w:p>
            <w:pPr>
              <w:pStyle w:val="table-level-1"/>
              <w:ind w:leftChars="0" w:left="0" w:right="0"/>
              <w:keepNext/>
            </w:pPr>
            <w:r>
              <w:t>345,9</w:t>
            </w:r>
          </w:p>
        </w:tc>
        <w:tc>
          <w:tcPr>
            <w:cnfStyle w:evenVBand="true" w:oddVBand="false" w:firstColumn="false"/>
            <w:tcW w:w="11.434303%" w:type="pct"/>
          </w:tcPr>
          <w:p>
            <w:pPr>
              <w:pStyle w:val="table-level-1"/>
              <w:ind w:leftChars="0" w:left="0" w:right="0"/>
              <w:keepNext/>
            </w:pPr>
            <w:r>
              <w:t>376,5</w:t>
            </w:r>
          </w:p>
        </w:tc>
        <w:tc>
          <w:tcPr>
            <w:cnfStyle w:evenVBand="false" w:oddVBand="true" w:firstColumn="false"/>
            <w:tcW w:w="11.434303%" w:type="pct"/>
          </w:tcPr>
          <w:p>
            <w:pPr>
              <w:pStyle w:val="table-level-1"/>
              <w:ind w:leftChars="0" w:left="0" w:right="0"/>
              <w:keepNext/>
            </w:pPr>
            <w:r>
              <w:t>292,5</w:t>
            </w:r>
          </w:p>
        </w:tc>
        <w:tc>
          <w:tcPr>
            <w:cnfStyle w:evenVBand="true" w:oddVBand="false" w:firstColumn="false"/>
            <w:tcW w:w="11.434303%" w:type="pct"/>
          </w:tcPr>
          <w:p>
            <w:pPr>
              <w:pStyle w:val="table-level-1"/>
              <w:ind w:leftChars="0" w:left="0" w:right="0"/>
              <w:keepNext/>
            </w:pPr>
            <w:r>
              <w:t>145,8</w:t>
            </w:r>
          </w:p>
        </w:tc>
        <w:tc>
          <w:tcPr>
            <w:cnfStyle w:evenVBand="false" w:oddVBand="true" w:firstColumn="false"/>
            <w:tcW w:w="11.434303%" w:type="pct"/>
          </w:tcPr>
          <w:p>
            <w:pPr>
              <w:pStyle w:val="table-level-1"/>
              <w:ind w:leftChars="0" w:left="0" w:right="0"/>
              <w:keepNext/>
            </w:pPr>
            <w:r>
              <w:t>216,3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IRES</w:t>
            </w:r>
          </w:p>
        </w:tc>
        <w:tc>
          <w:tcPr>
            <w:cnfStyle w:evenVBand="true" w:oddVBand="false" w:firstColumn="false"/>
            <w:tcW w:w="11.434303%" w:type="pct"/>
          </w:tcPr>
          <w:p>
            <w:pPr>
              <w:pStyle w:val="table-level-0"/>
              <w:ind w:leftChars="0" w:left="0" w:right="0"/>
              <w:keepNext/>
            </w:pPr>
            <w:r>
              <w:t>237,2</w:t>
            </w:r>
          </w:p>
        </w:tc>
        <w:tc>
          <w:tcPr>
            <w:cnfStyle w:evenVBand="false" w:oddVBand="true" w:firstColumn="false"/>
            <w:tcW w:w="11.434303%" w:type="pct"/>
          </w:tcPr>
          <w:p>
            <w:pPr>
              <w:pStyle w:val="table-level-0"/>
              <w:ind w:leftChars="0" w:left="0" w:right="0"/>
              <w:keepNext/>
            </w:pPr>
            <w:r>
              <w:t>298,6</w:t>
            </w:r>
          </w:p>
        </w:tc>
        <w:tc>
          <w:tcPr>
            <w:cnfStyle w:evenVBand="true" w:oddVBand="false" w:firstColumn="false"/>
            <w:tcW w:w="11.434303%" w:type="pct"/>
          </w:tcPr>
          <w:p>
            <w:pPr>
              <w:pStyle w:val="table-level-0"/>
              <w:ind w:leftChars="0" w:left="0" w:right="0"/>
              <w:keepNext/>
            </w:pPr>
            <w:r>
              <w:t>325</w:t>
            </w:r>
          </w:p>
        </w:tc>
        <w:tc>
          <w:tcPr>
            <w:cnfStyle w:evenVBand="false" w:oddVBand="true" w:firstColumn="false"/>
            <w:tcW w:w="11.434303%" w:type="pct"/>
          </w:tcPr>
          <w:p>
            <w:pPr>
              <w:pStyle w:val="table-level-0"/>
              <w:ind w:leftChars="0" w:left="0" w:right="0"/>
              <w:keepNext/>
            </w:pPr>
            <w:r>
              <w:t>252,4</w:t>
            </w:r>
          </w:p>
        </w:tc>
        <w:tc>
          <w:tcPr>
            <w:cnfStyle w:evenVBand="true" w:oddVBand="false" w:firstColumn="false"/>
            <w:tcW w:w="11.434303%" w:type="pct"/>
          </w:tcPr>
          <w:p>
            <w:pPr>
              <w:pStyle w:val="table-level-0"/>
              <w:ind w:leftChars="0" w:left="0" w:right="0"/>
              <w:keepNext/>
            </w:pPr>
            <w:r>
              <w:t>123,4</w:t>
            </w:r>
          </w:p>
        </w:tc>
        <w:tc>
          <w:tcPr>
            <w:cnfStyle w:evenVBand="false" w:oddVBand="true" w:firstColumn="false"/>
            <w:tcW w:w="11.434303%" w:type="pct"/>
          </w:tcPr>
          <w:p>
            <w:pPr>
              <w:pStyle w:val="table-level-0"/>
              <w:ind w:leftChars="0" w:left="0" w:right="0"/>
              <w:keepNext/>
            </w:pPr>
            <w:r>
              <w:t>183,6</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IRAP</w:t>
            </w:r>
          </w:p>
        </w:tc>
        <w:tc>
          <w:tcPr>
            <w:cnfStyle w:evenVBand="true" w:oddVBand="false" w:firstColumn="false"/>
            <w:tcW w:w="11.434303%" w:type="pct"/>
          </w:tcPr>
          <w:p>
            <w:pPr>
              <w:pStyle w:val="table-level-0"/>
              <w:ind w:leftChars="0" w:left="0" w:right="0"/>
              <w:keepNext/>
            </w:pPr>
            <w:r>
              <w:t>37</w:t>
            </w:r>
          </w:p>
        </w:tc>
        <w:tc>
          <w:tcPr>
            <w:cnfStyle w:evenVBand="false" w:oddVBand="true" w:firstColumn="false"/>
            <w:tcW w:w="11.434303%" w:type="pct"/>
          </w:tcPr>
          <w:p>
            <w:pPr>
              <w:pStyle w:val="table-level-0"/>
              <w:ind w:leftChars="0" w:left="0" w:right="0"/>
              <w:keepNext/>
            </w:pPr>
            <w:r>
              <w:t>46,6</w:t>
            </w:r>
          </w:p>
        </w:tc>
        <w:tc>
          <w:tcPr>
            <w:cnfStyle w:evenVBand="true" w:oddVBand="false" w:firstColumn="false"/>
            <w:tcW w:w="11.434303%" w:type="pct"/>
          </w:tcPr>
          <w:p>
            <w:pPr>
              <w:pStyle w:val="table-level-0"/>
              <w:ind w:leftChars="0" w:left="0" w:right="0"/>
              <w:keepNext/>
            </w:pPr>
            <w:r>
              <w:t>50,7</w:t>
            </w:r>
          </w:p>
        </w:tc>
        <w:tc>
          <w:tcPr>
            <w:cnfStyle w:evenVBand="false" w:oddVBand="true" w:firstColumn="false"/>
            <w:tcW w:w="11.434303%" w:type="pct"/>
          </w:tcPr>
          <w:p>
            <w:pPr>
              <w:pStyle w:val="table-level-0"/>
              <w:ind w:leftChars="0" w:left="0" w:right="0"/>
              <w:keepNext/>
            </w:pPr>
            <w:r>
              <w:t>39,4</w:t>
            </w:r>
          </w:p>
        </w:tc>
        <w:tc>
          <w:tcPr>
            <w:cnfStyle w:evenVBand="true" w:oddVBand="false" w:firstColumn="false"/>
            <w:tcW w:w="11.434303%" w:type="pct"/>
          </w:tcPr>
          <w:p>
            <w:pPr>
              <w:pStyle w:val="table-level-0"/>
              <w:ind w:leftChars="0" w:left="0" w:right="0"/>
              <w:keepNext/>
            </w:pPr>
            <w:r>
              <w:t>19,2</w:t>
            </w:r>
          </w:p>
        </w:tc>
        <w:tc>
          <w:tcPr>
            <w:cnfStyle w:evenVBand="false" w:oddVBand="true" w:firstColumn="false"/>
            <w:tcW w:w="11.434303%" w:type="pct"/>
          </w:tcPr>
          <w:p>
            <w:pPr>
              <w:pStyle w:val="table-level-0"/>
              <w:ind w:leftChars="0" w:left="0" w:right="0"/>
              <w:keepNext/>
            </w:pPr>
            <w:r>
              <w:t>28,6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correnti diverse</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0,65</w:t>
            </w:r>
          </w:p>
        </w:tc>
        <w:tc>
          <w:tcPr>
            <w:cnfStyle w:evenVBand="true" w:oddVBand="false" w:firstColumn="false"/>
            <w:tcW w:w="11.434303%" w:type="pct"/>
          </w:tcPr>
          <w:p>
            <w:pPr>
              <w:pStyle w:val="table-level-0"/>
              <w:ind w:leftChars="0" w:left="0" w:right="0"/>
              <w:keepNext/>
            </w:pPr>
            <w:r>
              <w:t>0,6</w:t>
            </w:r>
          </w:p>
        </w:tc>
        <w:tc>
          <w:tcPr>
            <w:cnfStyle w:evenVBand="false" w:oddVBand="true" w:firstColumn="false"/>
            <w:tcW w:w="11.434303%" w:type="pct"/>
          </w:tcPr>
          <w:p>
            <w:pPr>
              <w:pStyle w:val="table-level-0"/>
              <w:ind w:leftChars="0" w:left="0" w:right="0"/>
              <w:keepNext/>
            </w:pPr>
            <w:r>
              <w:t>0,6</w:t>
            </w:r>
          </w:p>
        </w:tc>
        <w:tc>
          <w:tcPr>
            <w:cnfStyle w:evenVBand="true" w:oddVBand="false" w:firstColumn="false"/>
            <w:tcW w:w="11.434303%" w:type="pct"/>
          </w:tcPr>
          <w:p>
            <w:pPr>
              <w:pStyle w:val="table-level-0"/>
              <w:ind w:leftChars="0" w:left="0" w:right="0"/>
              <w:keepNext/>
            </w:pPr>
            <w:r>
              <w:t>0,7</w:t>
            </w:r>
          </w:p>
        </w:tc>
        <w:tc>
          <w:tcPr>
            <w:cnfStyle w:evenVBand="false" w:oddVBand="true" w:firstColumn="false"/>
            <w:tcW w:w="11.434303%" w:type="pct"/>
          </w:tcPr>
          <w:p>
            <w:pPr>
              <w:pStyle w:val="table-level-0"/>
              <w:ind w:leftChars="0" w:left="0" w:right="0"/>
              <w:keepNext/>
            </w:pPr>
            <w:r>
              <w:t>1</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Imposte di esercizi precedenti</w:t>
            </w:r>
          </w:p>
        </w:tc>
        <w:tc>
          <w:tcPr>
            <w:cnfStyle w:evenVBand="true" w:oddVBand="false" w:firstColumn="false"/>
            <w:tcW w:w="11.434303%" w:type="pct"/>
          </w:tcPr>
          <w:p>
            <w:pPr>
              <w:pStyle w:val="table-level-0"/>
              <w:ind w:leftChars="0" w:left="0" w:right="0"/>
              <w:keepNext/>
            </w:pPr>
            <w:r>
              <w:t>0,12</w:t>
            </w:r>
          </w:p>
        </w:tc>
        <w:tc>
          <w:tcPr>
            <w:cnfStyle w:evenVBand="false" w:oddVBand="true" w:firstColumn="false"/>
            <w:tcW w:w="11.434303%" w:type="pct"/>
          </w:tcPr>
          <w:p>
            <w:pPr>
              <w:pStyle w:val="table-level-0"/>
              <w:ind w:leftChars="0" w:left="0" w:right="0"/>
              <w:keepNext/>
            </w:pPr>
            <w:r>
              <w:t>0,1</w:t>
            </w:r>
          </w:p>
        </w:tc>
        <w:tc>
          <w:tcPr>
            <w:cnfStyle w:evenVBand="true" w:oddVBand="false" w:firstColumn="false"/>
            <w:tcW w:w="11.434303%" w:type="pct"/>
          </w:tcPr>
          <w:p>
            <w:pPr>
              <w:pStyle w:val="table-level-0"/>
              <w:ind w:leftChars="0" w:left="0" w:right="0"/>
              <w:keepNext/>
            </w:pPr>
            <w:r>
              <w:t>0,2</w:t>
            </w:r>
          </w:p>
        </w:tc>
        <w:tc>
          <w:tcPr>
            <w:cnfStyle w:evenVBand="false" w:oddVBand="true" w:firstColumn="false"/>
            <w:tcW w:w="11.434303%" w:type="pct"/>
          </w:tcPr>
          <w:p>
            <w:pPr>
              <w:pStyle w:val="table-level-0"/>
              <w:ind w:leftChars="0" w:left="0" w:right="0"/>
              <w:keepNext/>
            </w:pPr>
            <w:r>
              <w:t>0,1</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3</w:t>
            </w:r>
          </w:p>
        </w:tc>
      </w:tr>
    </w:tbl>
    <w:p>
      <w:pPr>
        <w:pStyle w:val="TableBottomMargin"/>
      </w:pPr>
    </w:p>
    <w:p>
      <w:pPr>
        <w:pStyle w:val="BodyText"/>
        <w:ind w:leftChars="0" w:left="0" w:right="0"/>
      </w:pPr>
      <w:r>
        <w:t xml:space="preserve">Dal prospetto si evince che al 31 dicembre 2022 il valore della voce </w:t>
      </w:r>
      <w:r>
        <w:rPr>
          <w:i/>
          <w:iCs/>
        </w:rPr>
        <w:t>Imposte correnti</w:t>
      </w:r>
      <w:r>
        <w:t xml:space="preserve"> è pari a € 275.067 ed è in diminuzione del 20% rispetto al 31 dicembre 2021.</w:t>
      </w:r>
    </w:p>
    <w:p>
      <w:pPr>
        <w:pStyle w:val="BodyText"/>
        <w:ind w:leftChars="0" w:left="0" w:right="0"/>
      </w:pPr>
      <w:r>
        <w:t xml:space="preserve">Il grafico seguente mostra l’analisi dell’andamento della voce </w:t>
      </w:r>
      <w:r>
        <w:rPr>
          <w:i/>
          <w:iCs/>
        </w:rPr>
        <w:t>Imposte correnti</w:t>
      </w:r>
      <w:r>
        <w:t xml:space="preserve"> dal 31 dicembre 2017 al 31 dicembre 2022. Nel periodo evidenziato, il valore medio è stato pari a € 275.356.</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199" name="e69af9527491002d376274c0c8a7ebcc.png" descr="_static/temp/e69af9527491002d376274c0c8a7eb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e69af9527491002d376274c0c8a7ebcc.png" descr="_static/temp/e69af9527491002d376274c0c8a7ebcc.png"/>
                    <pic:cNvPicPr>
                      <a:picLocks noChangeAspect="1" noChangeArrowheads="1"/>
                    </pic:cNvPicPr>
                  </pic:nvPicPr>
                  <pic:blipFill>
                    <a:blip xmlns:r="http://schemas.openxmlformats.org/officeDocument/2006/relationships" r:embed="rId122"/>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Analizzando la composizione della voce </w:t>
      </w:r>
      <w:r>
        <w:rPr>
          <w:i/>
          <w:iCs/>
        </w:rPr>
        <w:t>Imposte correnti</w:t>
      </w:r>
      <w:r>
        <w:t xml:space="preserve"> al 31 dicembre 2022, la componente più significativa è rappresentata dalla voce </w:t>
      </w:r>
      <w:r>
        <w:rPr>
          <w:i/>
          <w:iCs/>
        </w:rPr>
        <w:t>IRES</w:t>
      </w:r>
      <w:r>
        <w:t xml:space="preserve"> con un valore pari a 237.238 €. Il grafico seguente visualizza la ripartizione di tutte le componenti della voce </w:t>
      </w:r>
      <w:r>
        <w:rPr>
          <w:i/>
          <w:iCs/>
        </w:rPr>
        <w:t>Imposte correnti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0" name="0e589062dc95b6190a6863420a2153f7.png" descr="_static/temp/0e589062dc95b6190a6863420a2153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e589062dc95b6190a6863420a2153f7.png" descr="_static/temp/0e589062dc95b6190a6863420a2153f7.png"/>
                    <pic:cNvPicPr>
                      <a:picLocks noChangeAspect="1" noChangeArrowheads="1"/>
                    </pic:cNvPicPr>
                  </pic:nvPicPr>
                  <pic:blipFill>
                    <a:blip xmlns:r="http://schemas.openxmlformats.org/officeDocument/2006/relationships" r:embed="rId123"/>
                    <a:srcRect/>
                    <a:stretch>
                      <a:fillRect/>
                    </a:stretch>
                  </pic:blipFill>
                  <pic:spPr bwMode="auto">
                    <a:xfrm>
                      <a:off x="0" y="0"/>
                      <a:ext cx="6476365" cy="3266766"/>
                    </a:xfrm>
                    <a:prstGeom prst="rect">
                      <a:avLst/>
                    </a:prstGeom>
                    <a:noFill/>
                  </pic:spPr>
                </pic:pic>
              </a:graphicData>
            </a:graphic>
          </wp:inline>
        </w:drawing>
      </w:r>
    </w:p>
    <w:bookmarkEnd w:id="588"/>
    <w:bookmarkEnd w:id="589"/>
    <w:bookmarkStart w:id="590" w:name="_bc7122be5c34122a40d3dd85e899cfe8"/>
    <w:bookmarkStart w:id="591" w:name="_74122e634a3e69101ab2f0b17cff61ca"/>
    <w:p>
      <w:pPr>
        <w:pStyle w:val="Heading3"/>
        <w:keepNext/>
      </w:pPr>
      <w:r>
        <w:t>Imposte differite e anticipate</w:t>
      </w:r>
    </w:p>
    <w:p>
      <w:pPr>
        <w:pStyle w:val="BodyText"/>
        <w:ind w:leftChars="0" w:left="0" w:right="0"/>
      </w:pPr>
      <w:r>
        <w:t xml:space="preserve">La presente sottosezione della </w:t>
      </w:r>
      <w:hyperlink w:anchor="_75826aa58a15c06d0dbd86ecde6802c7">
        <w:r>
          <w:rPr>
            <w:rStyle w:val="Hyperlink"/>
          </w:rPr>
          <w:t>Gestione fiscale</w:t>
        </w:r>
      </w:hyperlink>
      <w:r>
        <w:t xml:space="preserve"> è dedicata alle imposte differite e anticipate. Queste rappresentano imposte sul reddito di competenza dell’esercizio, ma recuperabili negli esercizi successivi (imposte anticipate) o imponibili ed esigibili negli esercizi successivi (imposte differite).</w:t>
      </w:r>
    </w:p>
    <w:p>
      <w:pPr>
        <w:pStyle w:val="BodyText"/>
        <w:ind w:leftChars="0" w:left="0" w:right="0"/>
      </w:pPr>
      <w:r>
        <w:t xml:space="preserve">Il prospetto seguente illustra il dettaglio analitico della voce </w:t>
      </w:r>
      <w:r>
        <w:rPr>
          <w:i/>
          <w:iCs/>
        </w:rPr>
        <w:t>Imposte differite e anticipate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74122e634a3e69101ab2f0b17cff61ca">
              <w:r>
                <w:rPr>
                  <w:rStyle w:val="Hyperlink"/>
                </w:rPr>
                <w:t>Imposte differite e anticipate</w:t>
              </w:r>
            </w:hyperlink>
          </w:p>
        </w:tc>
        <w:tc>
          <w:tcPr>
            <w:cnfStyle w:evenVBand="true" w:oddVBand="false" w:firstColumn="false"/>
            <w:tcW w:w="11.434303%" w:type="pct"/>
          </w:tcPr>
          <w:p>
            <w:pPr>
              <w:pStyle w:val="table-level-1"/>
              <w:ind w:leftChars="0" w:left="0" w:right="0"/>
              <w:keepNext/>
            </w:pPr>
            <w:r>
              <w:t>-5</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18,5</w:t>
            </w:r>
          </w:p>
        </w:tc>
        <w:tc>
          <w:tcPr>
            <w:cnfStyle w:evenVBand="false" w:oddVBand="true" w:firstColumn="false"/>
            <w:tcW w:w="11.434303%" w:type="pct"/>
          </w:tcPr>
          <w:p>
            <w:pPr>
              <w:pStyle w:val="table-level-1"/>
              <w:ind w:leftChars="0" w:left="0" w:right="0"/>
              <w:keepNext/>
            </w:pPr>
            <w:r>
              <w:t>-18,6</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Imposte anticipate</w:t>
            </w:r>
          </w:p>
        </w:tc>
        <w:tc>
          <w:tcPr>
            <w:cnfStyle w:evenVBand="true" w:oddVBand="false" w:firstColumn="false"/>
            <w:tcW w:w="11.434303%" w:type="pct"/>
          </w:tcPr>
          <w:p>
            <w:pPr>
              <w:pStyle w:val="table-level-0"/>
              <w:ind w:leftChars="0" w:left="0" w:right="0"/>
              <w:keepNext/>
            </w:pPr>
            <w:r>
              <w:t>-10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20</w:t>
            </w:r>
          </w:p>
        </w:tc>
        <w:tc>
          <w:tcPr>
            <w:cnfStyle w:evenVBand="false" w:oddVBand="true" w:firstColumn="false"/>
            <w:tcW w:w="11.434303%" w:type="pct"/>
          </w:tcPr>
          <w:p>
            <w:pPr>
              <w:pStyle w:val="table-level-0"/>
              <w:ind w:leftChars="0" w:left="0" w:right="0"/>
              <w:keepNext/>
            </w:pPr>
            <w:r>
              <w:t>-20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Imposte differite</w:t>
            </w:r>
          </w:p>
        </w:tc>
        <w:tc>
          <w:tcPr>
            <w:cnfStyle w:evenVBand="true" w:oddVBand="false" w:firstColumn="false"/>
            <w:tcW w:w="11.434303%" w:type="pct"/>
          </w:tcPr>
          <w:p>
            <w:pPr>
              <w:pStyle w:val="table-level-0"/>
              <w:ind w:leftChars="0" w:left="0" w:right="0"/>
              <w:keepNext/>
            </w:pPr>
            <w:r>
              <w:t>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1,4</w:t>
            </w:r>
          </w:p>
        </w:tc>
      </w:tr>
    </w:tbl>
    <w:p>
      <w:pPr>
        <w:pStyle w:val="TableBottomMargin"/>
      </w:pPr>
    </w:p>
    <w:p>
      <w:pPr>
        <w:pStyle w:val="BodyText"/>
        <w:ind w:leftChars="0" w:left="0" w:right="0"/>
      </w:pPr>
      <w:r>
        <w:t xml:space="preserve">Dal prospetto si evince che al 31 dicembre 2022 il valore della voce </w:t>
      </w:r>
      <w:r>
        <w:rPr>
          <w:i/>
          <w:iCs/>
        </w:rPr>
        <w:t>Imposte differite e anticipate</w:t>
      </w:r>
      <w:r>
        <w:t xml:space="preserve"> è pari a € -5.000.</w:t>
      </w:r>
    </w:p>
    <w:bookmarkEnd w:id="590"/>
    <w:bookmarkEnd w:id="591"/>
    <w:bookmarkStart w:id="592" w:name="_c351aca49c9cdac50c3569ee8215b816"/>
    <w:bookmarkStart w:id="593" w:name="_0e668cdabed72cb77effca8d8cd5d6f4"/>
    <w:p>
      <w:pPr>
        <w:pStyle w:val="Heading3"/>
        <w:keepNext/>
      </w:pPr>
      <w:r>
        <w:t>Proventi oneri da consolidato e trasparenza fiscali</w:t>
      </w:r>
    </w:p>
    <w:p>
      <w:pPr>
        <w:pStyle w:val="BodyText"/>
        <w:ind w:leftChars="0" w:left="0" w:right="0"/>
      </w:pPr>
      <w:r>
        <w:t xml:space="preserve">La presente sottosezione della </w:t>
      </w:r>
      <w:hyperlink w:anchor="_75826aa58a15c06d0dbd86ecde6802c7">
        <w:r>
          <w:rPr>
            <w:rStyle w:val="Hyperlink"/>
          </w:rPr>
          <w:t>Gestione fiscale</w:t>
        </w:r>
      </w:hyperlink>
      <w:r>
        <w:t xml:space="preserve"> è dedicata ai proventi oneri da consolidato e trasparenza fiscali. Questi rappresentano proventi o oneri riconosciuti per il trasferimento di utili fiscali nell’ambito dei regimi di consolidato e trasparenza fiscale.</w:t>
      </w:r>
    </w:p>
    <w:p>
      <w:pPr>
        <w:pStyle w:val="BodyText"/>
        <w:ind w:leftChars="0" w:left="0" w:right="0"/>
      </w:pPr>
      <w:r>
        <w:t xml:space="preserve">Il prospetto seguente illustra il dettaglio analitico della voce </w:t>
      </w:r>
      <w:r>
        <w:rPr>
          <w:i/>
          <w:iCs/>
        </w:rPr>
        <w:t>Proventi oneri da consolidato e trasparenza fiscali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0e668cdabed72cb77effca8d8cd5d6f4">
              <w:r>
                <w:rPr>
                  <w:rStyle w:val="Hyperlink"/>
                </w:rPr>
                <w:t>Proventi/oneri consolidato</w:t>
              </w:r>
            </w:hyperlink>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-1</w:t>
            </w:r>
          </w:p>
        </w:tc>
        <w:tc>
          <w:tcPr>
            <w:cnfStyle w:evenVBand="false" w:oddVBand="true" w:firstColumn="false"/>
            <w:tcW w:w="11.434303%" w:type="pct"/>
          </w:tcPr>
          <w:p>
            <w:pPr>
              <w:pStyle w:val="table-level-1"/>
              <w:ind w:leftChars="0" w:left="0" w:right="0"/>
              <w:keepNext/>
            </w:pPr>
            <w:r>
              <w:t>0</w:t>
            </w:r>
          </w:p>
        </w:tc>
        <w:tc>
          <w:tcPr>
            <w:cnfStyle w:evenVBand="true" w:oddVBand="false" w:firstColumn="false"/>
            <w:tcW w:w="11.434303%" w:type="pct"/>
          </w:tcPr>
          <w:p>
            <w:pPr>
              <w:pStyle w:val="table-level-1"/>
              <w:ind w:leftChars="0" w:left="0" w:right="0"/>
              <w:keepNext/>
            </w:pPr>
            <w:r>
              <w:t>0</w:t>
            </w:r>
          </w:p>
        </w:tc>
        <w:tc>
          <w:tcPr>
            <w:cnfStyle w:evenVBand="false" w:oddVBand="true" w:firstColumn="false"/>
            <w:tcW w:w="11.434303%" w:type="pct"/>
          </w:tcPr>
          <w:p>
            <w:pPr>
              <w:pStyle w:val="table-level-1"/>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Proventi da consolidato fiscale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-2</w:t>
            </w:r>
          </w:p>
        </w:tc>
        <w:tc>
          <w:tcPr>
            <w:cnfStyle w:evenVBand="true" w:oddVBand="false" w:firstColumn="false"/>
            <w:tcW w:w="11.434303%" w:type="pct"/>
          </w:tcPr>
          <w:p>
            <w:pPr>
              <w:pStyle w:val="table-level-0"/>
              <w:ind w:leftChars="0" w:left="0" w:right="0"/>
              <w:keepNext/>
            </w:pPr>
            <w:r>
              <w:t>-2,5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Oneri da consolidato fiscale</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1,5</w:t>
            </w:r>
          </w:p>
        </w:tc>
        <w:tc>
          <w:tcPr>
            <w:cnfStyle w:evenVBand="false" w:oddVBand="true" w:firstColumn="false"/>
            <w:tcW w:w="11.434303%" w:type="pct"/>
          </w:tcPr>
          <w:p>
            <w:pPr>
              <w:pStyle w:val="table-level-0"/>
              <w:ind w:leftChars="0" w:left="0" w:right="0"/>
              <w:keepNext/>
            </w:pPr>
            <w:r>
              <w:t>0</w:t>
            </w:r>
          </w:p>
        </w:tc>
        <w:tc>
          <w:tcPr>
            <w:cnfStyle w:evenVBand="true" w:oddVBand="false" w:firstColumn="false"/>
            <w:tcW w:w="11.434303%" w:type="pct"/>
          </w:tcPr>
          <w:p>
            <w:pPr>
              <w:pStyle w:val="table-level-0"/>
              <w:ind w:leftChars="0" w:left="0" w:right="0"/>
              <w:keepNext/>
            </w:pPr>
            <w:r>
              <w:t>0</w:t>
            </w:r>
          </w:p>
        </w:tc>
        <w:tc>
          <w:tcPr>
            <w:cnfStyle w:evenVBand="false" w:oddVBand="true" w:firstColumn="false"/>
            <w:tcW w:w="11.434303%" w:type="pct"/>
          </w:tcPr>
          <w:p>
            <w:pPr>
              <w:pStyle w:val="table-level-0"/>
              <w:ind w:leftChars="0" w:left="0" w:right="0"/>
              <w:keepNext/>
            </w:pPr>
            <w:r>
              <w:t>0</w:t>
            </w:r>
          </w:p>
        </w:tc>
      </w:tr>
    </w:tbl>
    <w:p>
      <w:pPr>
        <w:pStyle w:val="TableBottomMargin"/>
      </w:pPr>
    </w:p>
    <w:p>
      <w:pPr>
        <w:pStyle w:val="BodyText"/>
        <w:ind w:leftChars="0" w:left="0" w:right="0"/>
      </w:pPr>
      <w:r>
        <w:t xml:space="preserve">Dal prospetto si evince che al 31 dicembre 2022 il valore della voce </w:t>
      </w:r>
      <w:r>
        <w:rPr>
          <w:i/>
          <w:iCs/>
        </w:rPr>
        <w:t>Proventi oneri da consolidato e trasparenza fiscali</w:t>
      </w:r>
      <w:r>
        <w:t xml:space="preserve"> è pari a € 0 ed è in crescita del 100% rispetto al 31 dicembre 2021.</w:t>
      </w:r>
    </w:p>
    <w:p>
      <w:pPr>
        <w:pStyle w:val="BodyText"/>
        <w:ind w:leftChars="0" w:left="0" w:right="0"/>
      </w:pPr>
      <w:r>
        <w:t xml:space="preserve">Il grafico seguente mostra l’analisi dell’andamento della voce </w:t>
      </w:r>
      <w:r>
        <w:rPr>
          <w:i/>
          <w:iCs/>
        </w:rPr>
        <w:t>Proventi oneri da consolidato e trasparenza fiscali</w:t>
      </w:r>
      <w:r>
        <w:t xml:space="preserve"> dal 31 dicembre 2017 al 31 dicembre 2022. Nel periodo evidenziato, il valore medio è stato pari a € -500.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1" name="c2d152560d3b2b6c6fa639cb2d30acee.png" descr="_static/temp/c2d152560d3b2b6c6fa639cb2d30a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2d152560d3b2b6c6fa639cb2d30acee.png" descr="_static/temp/c2d152560d3b2b6c6fa639cb2d30acee.png"/>
                    <pic:cNvPicPr>
                      <a:picLocks noChangeAspect="1" noChangeArrowheads="1"/>
                    </pic:cNvPicPr>
                  </pic:nvPicPr>
                  <pic:blipFill>
                    <a:blip xmlns:r="http://schemas.openxmlformats.org/officeDocument/2006/relationships" r:embed="rId124"/>
                    <a:srcRect/>
                    <a:stretch>
                      <a:fillRect/>
                    </a:stretch>
                  </pic:blipFill>
                  <pic:spPr bwMode="auto">
                    <a:xfrm>
                      <a:off x="0" y="0"/>
                      <a:ext cx="6476365" cy="3266766"/>
                    </a:xfrm>
                    <a:prstGeom prst="rect">
                      <a:avLst/>
                    </a:prstGeom>
                    <a:noFill/>
                  </pic:spPr>
                </pic:pic>
              </a:graphicData>
            </a:graphic>
          </wp:inline>
        </w:drawing>
      </w:r>
    </w:p>
    <w:br w:type="page"/>
    <w:bookmarkEnd w:id="592"/>
    <w:bookmarkEnd w:id="593"/>
    <w:bookmarkEnd w:id="586"/>
    <w:bookmarkEnd w:id="587"/>
    <w:bookmarkEnd w:id="543"/>
    <w:bookmarkEnd w:id="544"/>
    <w:bookmarkEnd w:id="545"/>
    <w:bookmarkStart w:id="594" w:name="_be9dd59504b6581d5cad29d60c714237"/>
    <w:bookmarkStart w:id="595" w:name="_525aca59e0fe6ee64e607c3ff24b8626"/>
    <w:bookmarkStart w:id="596" w:name="_fecc41f51811e8e895f541f03892bda1"/>
    <w:p>
      <w:pPr>
        <w:pStyle w:val="Heading1"/>
        <w:keepNext/>
        <w:pageBreakBefore w:val="1"/>
      </w:pPr>
      <w:r>
        <w:t>Rendiconto finanziario</w:t>
      </w:r>
    </w:p>
    <w:p>
      <w:pPr>
        <w:pStyle w:val="BodyText"/>
        <w:ind w:leftChars="0" w:left="0" w:right="0"/>
      </w:pPr>
      <w:r>
        <w:t xml:space="preserve">Questa sezione contiene i prospetti del Rendiconto finanziario della </w:t>
      </w:r>
      <w:r>
        <w:rPr>
          <w:i/>
          <w:iCs/>
        </w:rPr>
        <w:t>Società</w:t>
      </w:r>
      <w:r>
        <w:t>, seguendo una struttura di tipo funzionale. I seguenti capitoli spiegano nel dettaglio la sua composizione, mentre la tabella seguente sintetizza i risultati conseguiti nel periodo compreso tra il 31 dicembre 2017 e il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r>
              <w:t>Reddito operativo lordo</w:t>
            </w:r>
          </w:p>
        </w:tc>
        <w:tc>
          <w:tcPr>
            <w:cnfStyle w:evenVBand="true" w:oddVBand="false" w:firstColumn="false"/>
            <w:tcW w:w="13.727455%" w:type="pct"/>
          </w:tcPr>
          <w:p>
            <w:pPr>
              <w:pStyle w:val="table-level-300"/>
              <w:ind w:leftChars="0" w:left="0" w:right="0"/>
              <w:keepNext/>
            </w:pPr>
            <w:r>
              <w:t>1.573</w:t>
            </w:r>
          </w:p>
        </w:tc>
        <w:tc>
          <w:tcPr>
            <w:cnfStyle w:evenVBand="false" w:oddVBand="true" w:firstColumn="false"/>
            <w:tcW w:w="13.727455%" w:type="pct"/>
          </w:tcPr>
          <w:p>
            <w:pPr>
              <w:pStyle w:val="table-level-300"/>
              <w:ind w:leftChars="0" w:left="0" w:right="0"/>
              <w:keepNext/>
            </w:pPr>
            <w:r>
              <w:t>1.746</w:t>
            </w:r>
          </w:p>
        </w:tc>
        <w:tc>
          <w:tcPr>
            <w:cnfStyle w:evenVBand="true" w:oddVBand="false" w:firstColumn="false"/>
            <w:tcW w:w="13.727455%" w:type="pct"/>
          </w:tcPr>
          <w:p>
            <w:pPr>
              <w:pStyle w:val="table-level-300"/>
              <w:ind w:leftChars="0" w:left="0" w:right="0"/>
              <w:keepNext/>
            </w:pPr>
            <w:r>
              <w:t>1.772</w:t>
            </w:r>
          </w:p>
        </w:tc>
        <w:tc>
          <w:tcPr>
            <w:cnfStyle w:evenVBand="false" w:oddVBand="true" w:firstColumn="false"/>
            <w:tcW w:w="13.727455%" w:type="pct"/>
          </w:tcPr>
          <w:p>
            <w:pPr>
              <w:pStyle w:val="table-level-300"/>
              <w:ind w:leftChars="0" w:left="0" w:right="0"/>
              <w:keepNext/>
            </w:pPr>
            <w:r>
              <w:t>1.455</w:t>
            </w:r>
          </w:p>
        </w:tc>
        <w:tc>
          <w:tcPr>
            <w:cnfStyle w:evenVBand="true" w:oddVBand="false" w:firstColumn="false"/>
            <w:tcW w:w="13.727455%" w:type="pct"/>
          </w:tcPr>
          <w:p>
            <w:pPr>
              <w:pStyle w:val="table-level-300"/>
              <w:ind w:leftChars="0" w:left="0" w:right="0"/>
              <w:keepNext/>
            </w:pPr>
            <w:r>
              <w:t>888,2</w:t>
            </w:r>
          </w:p>
        </w:tc>
      </w:tr>
      <w:tr>
        <w:trPr>
          <w:cnfStyle w:evenHBand="true" w:oddHBand="false" w:firstRow="false"/>
          <w:cantSplit/>
        </w:trPr>
        <w:tc>
          <w:tcPr>
            <w:cnfStyle w:evenVBand="false" w:oddVBand="true" w:firstColumn="false"/>
            <w:tcW w:w="31.362725%" w:type="pct"/>
          </w:tcPr>
          <w:p>
            <w:pPr>
              <w:pStyle w:val="index-table-level-2"/>
              <w:ind w:leftChars="0" w:left="0" w:right="0"/>
              <w:keepNext/>
            </w:pPr>
            <w:hyperlink w:anchor="_d9a9cbcd4ed16de5cdde4f46040f7306">
              <w:r>
                <w:rPr>
                  <w:rStyle w:val="Hyperlink"/>
                </w:rPr>
                <w:t>Variazione del circolante</w:t>
              </w:r>
            </w:hyperlink>
          </w:p>
        </w:tc>
        <w:tc>
          <w:tcPr>
            <w:cnfStyle w:evenVBand="true" w:oddVBand="false" w:firstColumn="false"/>
            <w:tcW w:w="13.727455%" w:type="pct"/>
          </w:tcPr>
          <w:p>
            <w:pPr>
              <w:pStyle w:val="table-level-2"/>
              <w:ind w:leftChars="0" w:left="0" w:right="0"/>
              <w:keepNext/>
            </w:pPr>
            <w:r>
              <w:t>-242,6</w:t>
            </w:r>
          </w:p>
        </w:tc>
        <w:tc>
          <w:tcPr>
            <w:cnfStyle w:evenVBand="false" w:oddVBand="true" w:firstColumn="false"/>
            <w:tcW w:w="13.727455%" w:type="pct"/>
          </w:tcPr>
          <w:p>
            <w:pPr>
              <w:pStyle w:val="table-level-2"/>
              <w:ind w:leftChars="0" w:left="0" w:right="0"/>
              <w:keepNext/>
            </w:pPr>
            <w:r>
              <w:t>-338,7</w:t>
            </w:r>
          </w:p>
        </w:tc>
        <w:tc>
          <w:tcPr>
            <w:cnfStyle w:evenVBand="true" w:oddVBand="false" w:firstColumn="false"/>
            <w:tcW w:w="13.727455%" w:type="pct"/>
          </w:tcPr>
          <w:p>
            <w:pPr>
              <w:pStyle w:val="table-level-2"/>
              <w:ind w:leftChars="0" w:left="0" w:right="0"/>
              <w:keepNext/>
            </w:pPr>
            <w:r>
              <w:t>-544,8</w:t>
            </w:r>
          </w:p>
        </w:tc>
        <w:tc>
          <w:tcPr>
            <w:cnfStyle w:evenVBand="false" w:oddVBand="true" w:firstColumn="false"/>
            <w:tcW w:w="13.727455%" w:type="pct"/>
          </w:tcPr>
          <w:p>
            <w:pPr>
              <w:pStyle w:val="table-level-2"/>
              <w:ind w:leftChars="0" w:left="0" w:right="0"/>
              <w:keepNext/>
            </w:pPr>
            <w:r>
              <w:t>-287,2</w:t>
            </w:r>
          </w:p>
        </w:tc>
        <w:tc>
          <w:tcPr>
            <w:cnfStyle w:evenVBand="true" w:oddVBand="false" w:firstColumn="false"/>
            <w:tcW w:w="13.727455%" w:type="pct"/>
          </w:tcPr>
          <w:p>
            <w:pPr>
              <w:pStyle w:val="table-level-2"/>
              <w:ind w:leftChars="0" w:left="0" w:right="0"/>
              <w:keepNext/>
            </w:pPr>
            <w:r>
              <w:t>106,6</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r>
              <w:t>Var. rimanenze</w:t>
            </w:r>
          </w:p>
        </w:tc>
        <w:tc>
          <w:tcPr>
            <w:cnfStyle w:evenVBand="true" w:oddVBand="false" w:firstColumn="false"/>
            <w:tcW w:w="13.727455%" w:type="pct"/>
          </w:tcPr>
          <w:p>
            <w:pPr>
              <w:pStyle w:val="table-level-1"/>
              <w:ind w:leftChars="0" w:left="0" w:right="0"/>
              <w:keepNext/>
            </w:pPr>
            <w:r>
              <w:t>-37,5</w:t>
            </w:r>
          </w:p>
        </w:tc>
        <w:tc>
          <w:tcPr>
            <w:cnfStyle w:evenVBand="false" w:oddVBand="true" w:firstColumn="false"/>
            <w:tcW w:w="13.727455%" w:type="pct"/>
          </w:tcPr>
          <w:p>
            <w:pPr>
              <w:pStyle w:val="table-level-1"/>
              <w:ind w:leftChars="0" w:left="0" w:right="0"/>
              <w:keepNext/>
            </w:pPr>
            <w:r>
              <w:t>-36,9</w:t>
            </w:r>
          </w:p>
        </w:tc>
        <w:tc>
          <w:tcPr>
            <w:cnfStyle w:evenVBand="true" w:oddVBand="false" w:firstColumn="false"/>
            <w:tcW w:w="13.727455%" w:type="pct"/>
          </w:tcPr>
          <w:p>
            <w:pPr>
              <w:pStyle w:val="table-level-1"/>
              <w:ind w:leftChars="0" w:left="0" w:right="0"/>
              <w:keepNext/>
            </w:pPr>
            <w:r>
              <w:t>-31,6</w:t>
            </w:r>
          </w:p>
        </w:tc>
        <w:tc>
          <w:tcPr>
            <w:cnfStyle w:evenVBand="false" w:oddVBand="true" w:firstColumn="false"/>
            <w:tcW w:w="13.727455%" w:type="pct"/>
          </w:tcPr>
          <w:p>
            <w:pPr>
              <w:pStyle w:val="table-level-1"/>
              <w:ind w:leftChars="0" w:left="0" w:right="0"/>
              <w:keepNext/>
            </w:pPr>
            <w:r>
              <w:t>-8</w:t>
            </w:r>
          </w:p>
        </w:tc>
        <w:tc>
          <w:tcPr>
            <w:cnfStyle w:evenVBand="true" w:oddVBand="false" w:firstColumn="false"/>
            <w:tcW w:w="13.727455%" w:type="pct"/>
          </w:tcPr>
          <w:p>
            <w:pPr>
              <w:pStyle w:val="table-level-1"/>
              <w:ind w:leftChars="0" w:left="0" w:right="0"/>
              <w:keepNext/>
            </w:pPr>
            <w:r>
              <w:t>-7</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869f7a3554d4b364ad496890fc9bb18d">
              <w:r>
                <w:rPr>
                  <w:rStyle w:val="Hyperlink"/>
                </w:rPr>
                <w:t>Var. crediti/debiti commerciali</w:t>
              </w:r>
            </w:hyperlink>
          </w:p>
        </w:tc>
        <w:tc>
          <w:tcPr>
            <w:cnfStyle w:evenVBand="true" w:oddVBand="false" w:firstColumn="false"/>
            <w:tcW w:w="13.727455%" w:type="pct"/>
          </w:tcPr>
          <w:p>
            <w:pPr>
              <w:pStyle w:val="table-level-1"/>
              <w:ind w:leftChars="0" w:left="0" w:right="0"/>
              <w:keepNext/>
            </w:pPr>
            <w:r>
              <w:t>46,9</w:t>
            </w:r>
          </w:p>
        </w:tc>
        <w:tc>
          <w:tcPr>
            <w:cnfStyle w:evenVBand="false" w:oddVBand="true" w:firstColumn="false"/>
            <w:tcW w:w="13.727455%" w:type="pct"/>
          </w:tcPr>
          <w:p>
            <w:pPr>
              <w:pStyle w:val="table-level-1"/>
              <w:ind w:leftChars="0" w:left="0" w:right="0"/>
              <w:keepNext/>
            </w:pPr>
            <w:r>
              <w:t>-20,4</w:t>
            </w:r>
          </w:p>
        </w:tc>
        <w:tc>
          <w:tcPr>
            <w:cnfStyle w:evenVBand="true" w:oddVBand="false" w:firstColumn="false"/>
            <w:tcW w:w="13.727455%" w:type="pct"/>
          </w:tcPr>
          <w:p>
            <w:pPr>
              <w:pStyle w:val="table-level-1"/>
              <w:ind w:leftChars="0" w:left="0" w:right="0"/>
              <w:keepNext/>
            </w:pPr>
            <w:r>
              <w:t>-172,2</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269</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crediti commerciali</w:t>
            </w:r>
          </w:p>
        </w:tc>
        <w:tc>
          <w:tcPr>
            <w:cnfStyle w:evenVBand="true" w:oddVBand="false" w:firstColumn="false"/>
            <w:tcW w:w="13.727455%" w:type="pct"/>
          </w:tcPr>
          <w:p>
            <w:pPr>
              <w:pStyle w:val="table-level-0"/>
              <w:ind w:leftChars="0" w:left="0" w:right="0"/>
              <w:keepNext/>
            </w:pPr>
            <w:r>
              <w:t>-80,1</w:t>
            </w:r>
          </w:p>
        </w:tc>
        <w:tc>
          <w:tcPr>
            <w:cnfStyle w:evenVBand="false" w:oddVBand="true" w:firstColumn="false"/>
            <w:tcW w:w="13.727455%" w:type="pct"/>
          </w:tcPr>
          <w:p>
            <w:pPr>
              <w:pStyle w:val="table-level-0"/>
              <w:ind w:leftChars="0" w:left="0" w:right="0"/>
              <w:keepNext/>
            </w:pPr>
            <w:r>
              <w:t>-118,1</w:t>
            </w:r>
          </w:p>
        </w:tc>
        <w:tc>
          <w:tcPr>
            <w:cnfStyle w:evenVBand="true" w:oddVBand="false" w:firstColumn="false"/>
            <w:tcW w:w="13.727455%" w:type="pct"/>
          </w:tcPr>
          <w:p>
            <w:pPr>
              <w:pStyle w:val="table-level-0"/>
              <w:ind w:leftChars="0" w:left="0" w:right="0"/>
              <w:keepNext/>
            </w:pPr>
            <w:r>
              <w:t>-68,2</w:t>
            </w:r>
          </w:p>
        </w:tc>
        <w:tc>
          <w:tcPr>
            <w:cnfStyle w:evenVBand="false" w:oddVBand="true" w:firstColumn="false"/>
            <w:tcW w:w="13.727455%" w:type="pct"/>
          </w:tcPr>
          <w:p>
            <w:pPr>
              <w:pStyle w:val="table-level-0"/>
              <w:ind w:leftChars="0" w:left="0" w:right="0"/>
              <w:keepNext/>
            </w:pPr>
            <w:r>
              <w:t>-12</w:t>
            </w:r>
          </w:p>
        </w:tc>
        <w:tc>
          <w:tcPr>
            <w:cnfStyle w:evenVBand="true" w:oddVBand="false" w:firstColumn="false"/>
            <w:tcW w:w="13.727455%" w:type="pct"/>
          </w:tcPr>
          <w:p>
            <w:pPr>
              <w:pStyle w:val="table-level-0"/>
              <w:ind w:leftChars="0" w:left="0" w:right="0"/>
              <w:keepNext/>
            </w:pPr>
            <w:r>
              <w:t>-12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debiti commerciali</w:t>
            </w:r>
          </w:p>
        </w:tc>
        <w:tc>
          <w:tcPr>
            <w:cnfStyle w:evenVBand="true" w:oddVBand="false" w:firstColumn="false"/>
            <w:tcW w:w="13.727455%" w:type="pct"/>
          </w:tcPr>
          <w:p>
            <w:pPr>
              <w:pStyle w:val="table-level-0"/>
              <w:ind w:leftChars="0" w:left="0" w:right="0"/>
              <w:keepNext/>
            </w:pPr>
            <w:r>
              <w:t>127</w:t>
            </w:r>
          </w:p>
        </w:tc>
        <w:tc>
          <w:tcPr>
            <w:cnfStyle w:evenVBand="false" w:oddVBand="true" w:firstColumn="false"/>
            <w:tcW w:w="13.727455%" w:type="pct"/>
          </w:tcPr>
          <w:p>
            <w:pPr>
              <w:pStyle w:val="table-level-0"/>
              <w:ind w:leftChars="0" w:left="0" w:right="0"/>
              <w:keepNext/>
            </w:pPr>
            <w:r>
              <w:t>97,8</w:t>
            </w:r>
          </w:p>
        </w:tc>
        <w:tc>
          <w:tcPr>
            <w:cnfStyle w:evenVBand="true" w:oddVBand="false" w:firstColumn="false"/>
            <w:tcW w:w="13.727455%" w:type="pct"/>
          </w:tcPr>
          <w:p>
            <w:pPr>
              <w:pStyle w:val="table-level-0"/>
              <w:ind w:leftChars="0" w:left="0" w:right="0"/>
              <w:keepNext/>
            </w:pPr>
            <w:r>
              <w:t>-104</w:t>
            </w:r>
          </w:p>
        </w:tc>
        <w:tc>
          <w:tcPr>
            <w:cnfStyle w:evenVBand="false" w:oddVBand="true" w:firstColumn="false"/>
            <w:tcW w:w="13.727455%" w:type="pct"/>
          </w:tcPr>
          <w:p>
            <w:pPr>
              <w:pStyle w:val="table-level-0"/>
              <w:ind w:leftChars="0" w:left="0" w:right="0"/>
              <w:keepNext/>
            </w:pPr>
            <w:r>
              <w:t>48</w:t>
            </w:r>
          </w:p>
        </w:tc>
        <w:tc>
          <w:tcPr>
            <w:cnfStyle w:evenVBand="true" w:oddVBand="false" w:firstColumn="false"/>
            <w:tcW w:w="13.727455%" w:type="pct"/>
          </w:tcPr>
          <w:p>
            <w:pPr>
              <w:pStyle w:val="table-level-0"/>
              <w:ind w:leftChars="0" w:left="0" w:right="0"/>
              <w:keepNext/>
            </w:pPr>
            <w:r>
              <w:t>281</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e80d103b8558aa0dd5c9956a9d292da0">
              <w:r>
                <w:rPr>
                  <w:rStyle w:val="Hyperlink"/>
                </w:rPr>
                <w:t>Var. crediti/debiti infragruppo</w:t>
              </w:r>
            </w:hyperlink>
          </w:p>
        </w:tc>
        <w:tc>
          <w:tcPr>
            <w:cnfStyle w:evenVBand="true" w:oddVBand="false" w:firstColumn="false"/>
            <w:tcW w:w="13.727455%" w:type="pct"/>
          </w:tcPr>
          <w:p>
            <w:pPr>
              <w:pStyle w:val="table-level-1"/>
              <w:ind w:leftChars="0" w:left="0" w:right="0"/>
              <w:keepNext/>
            </w:pPr>
            <w:r>
              <w:t>3,5</w:t>
            </w:r>
          </w:p>
        </w:tc>
        <w:tc>
          <w:tcPr>
            <w:cnfStyle w:evenVBand="false" w:oddVBand="true" w:firstColumn="false"/>
            <w:tcW w:w="13.727455%" w:type="pct"/>
          </w:tcPr>
          <w:p>
            <w:pPr>
              <w:pStyle w:val="table-level-1"/>
              <w:ind w:leftChars="0" w:left="0" w:right="0"/>
              <w:keepNext/>
            </w:pPr>
            <w:r>
              <w:t>6,2</w:t>
            </w:r>
          </w:p>
        </w:tc>
        <w:tc>
          <w:tcPr>
            <w:cnfStyle w:evenVBand="true" w:oddVBand="false" w:firstColumn="false"/>
            <w:tcW w:w="13.727455%" w:type="pct"/>
          </w:tcPr>
          <w:p>
            <w:pPr>
              <w:pStyle w:val="table-level-1"/>
              <w:ind w:leftChars="0" w:left="0" w:right="0"/>
              <w:keepNext/>
            </w:pPr>
            <w:r>
              <w:t>1,5</w:t>
            </w:r>
          </w:p>
        </w:tc>
        <w:tc>
          <w:tcPr>
            <w:cnfStyle w:evenVBand="false" w:oddVBand="true" w:firstColumn="false"/>
            <w:tcW w:w="13.727455%" w:type="pct"/>
          </w:tcPr>
          <w:p>
            <w:pPr>
              <w:pStyle w:val="table-level-1"/>
              <w:ind w:leftChars="0" w:left="0" w:right="0"/>
              <w:keepNext/>
            </w:pPr>
            <w:r>
              <w:t>3,5</w:t>
            </w:r>
          </w:p>
        </w:tc>
        <w:tc>
          <w:tcPr>
            <w:cnfStyle w:evenVBand="true" w:oddVBand="false" w:firstColumn="false"/>
            <w:tcW w:w="13.727455%" w:type="pct"/>
          </w:tcPr>
          <w:p>
            <w:pPr>
              <w:pStyle w:val="table-level-1"/>
              <w:ind w:leftChars="0" w:left="0" w:right="0"/>
              <w:keepNext/>
            </w:pPr>
            <w:r>
              <w:t>5,6</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v/imprese infragruppo</w:t>
            </w:r>
          </w:p>
        </w:tc>
        <w:tc>
          <w:tcPr>
            <w:cnfStyle w:evenVBand="true" w:oddVBand="false" w:firstColumn="false"/>
            <w:tcW w:w="13.727455%" w:type="pct"/>
          </w:tcPr>
          <w:p>
            <w:pPr>
              <w:pStyle w:val="table-level-0"/>
              <w:ind w:leftChars="0" w:left="0" w:right="0"/>
              <w:keepNext/>
            </w:pPr>
            <w:r>
              <w:t>2,8</w:t>
            </w:r>
          </w:p>
        </w:tc>
        <w:tc>
          <w:tcPr>
            <w:cnfStyle w:evenVBand="false" w:oddVBand="true" w:firstColumn="false"/>
            <w:tcW w:w="13.727455%" w:type="pct"/>
          </w:tcPr>
          <w:p>
            <w:pPr>
              <w:pStyle w:val="table-level-0"/>
              <w:ind w:leftChars="0" w:left="0" w:right="0"/>
              <w:keepNext/>
            </w:pPr>
            <w:r>
              <w:t>4,2</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4,3</w:t>
            </w:r>
          </w:p>
        </w:tc>
        <w:tc>
          <w:tcPr>
            <w:cnfStyle w:evenVBand="true" w:oddVBand="false" w:firstColumn="false"/>
            <w:tcW w:w="13.727455%" w:type="pct"/>
          </w:tcPr>
          <w:p>
            <w:pPr>
              <w:pStyle w:val="table-level-0"/>
              <w:ind w:leftChars="0" w:left="0" w:right="0"/>
              <w:keepNext/>
            </w:pPr>
            <w:r>
              <w:t>6,4</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v/imprese infragruppo</w:t>
            </w:r>
          </w:p>
        </w:tc>
        <w:tc>
          <w:tcPr>
            <w:cnfStyle w:evenVBand="true" w:oddVBand="false" w:firstColumn="false"/>
            <w:tcW w:w="13.727455%" w:type="pct"/>
          </w:tcPr>
          <w:p>
            <w:pPr>
              <w:pStyle w:val="table-level-0"/>
              <w:ind w:leftChars="0" w:left="0" w:right="0"/>
              <w:keepNext/>
            </w:pPr>
            <w:r>
              <w:t>0,7</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-0,8</w:t>
            </w:r>
          </w:p>
        </w:tc>
        <w:tc>
          <w:tcPr>
            <w:cnfStyle w:evenVBand="true" w:oddVBand="false" w:firstColumn="false"/>
            <w:tcW w:w="13.727455%" w:type="pct"/>
          </w:tcPr>
          <w:p>
            <w:pPr>
              <w:pStyle w:val="table-level-0"/>
              <w:ind w:leftChars="0" w:left="0" w:right="0"/>
              <w:keepNext/>
            </w:pPr>
            <w:r>
              <w:t>-0,8</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0d097a1682ce29672b23e4eadb525dde">
              <w:r>
                <w:rPr>
                  <w:rStyle w:val="Hyperlink"/>
                </w:rPr>
                <w:t>Var. crediti/debiti tributari</w:t>
              </w:r>
            </w:hyperlink>
          </w:p>
        </w:tc>
        <w:tc>
          <w:tcPr>
            <w:cnfStyle w:evenVBand="true" w:oddVBand="false" w:firstColumn="false"/>
            <w:tcW w:w="13.727455%" w:type="pct"/>
          </w:tcPr>
          <w:p>
            <w:pPr>
              <w:pStyle w:val="table-level-1"/>
              <w:ind w:leftChars="0" w:left="0" w:right="0"/>
              <w:keepNext/>
            </w:pPr>
            <w:r>
              <w:t>-269,3</w:t>
            </w:r>
          </w:p>
        </w:tc>
        <w:tc>
          <w:tcPr>
            <w:cnfStyle w:evenVBand="false" w:oddVBand="true" w:firstColumn="false"/>
            <w:tcW w:w="13.727455%" w:type="pct"/>
          </w:tcPr>
          <w:p>
            <w:pPr>
              <w:pStyle w:val="table-level-1"/>
              <w:ind w:leftChars="0" w:left="0" w:right="0"/>
              <w:keepNext/>
            </w:pPr>
            <w:r>
              <w:t>-323,6</w:t>
            </w:r>
          </w:p>
        </w:tc>
        <w:tc>
          <w:tcPr>
            <w:cnfStyle w:evenVBand="true" w:oddVBand="false" w:firstColumn="false"/>
            <w:tcW w:w="13.727455%" w:type="pct"/>
          </w:tcPr>
          <w:p>
            <w:pPr>
              <w:pStyle w:val="table-level-1"/>
              <w:ind w:leftChars="0" w:left="0" w:right="0"/>
              <w:keepNext/>
            </w:pPr>
            <w:r>
              <w:t>-353,2</w:t>
            </w:r>
          </w:p>
        </w:tc>
        <w:tc>
          <w:tcPr>
            <w:cnfStyle w:evenVBand="false" w:oddVBand="true" w:firstColumn="false"/>
            <w:tcW w:w="13.727455%" w:type="pct"/>
          </w:tcPr>
          <w:p>
            <w:pPr>
              <w:pStyle w:val="table-level-1"/>
              <w:ind w:leftChars="0" w:left="0" w:right="0"/>
              <w:keepNext/>
            </w:pPr>
            <w:r>
              <w:t>-292,2</w:t>
            </w:r>
          </w:p>
        </w:tc>
        <w:tc>
          <w:tcPr>
            <w:cnfStyle w:evenVBand="true" w:oddVBand="false" w:firstColumn="false"/>
            <w:tcW w:w="13.727455%" w:type="pct"/>
          </w:tcPr>
          <w:p>
            <w:pPr>
              <w:pStyle w:val="table-level-1"/>
              <w:ind w:leftChars="0" w:left="0" w:right="0"/>
              <w:keepNext/>
            </w:pPr>
            <w:r>
              <w:t>-144,7</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Imposte dell’esercizio</w:t>
            </w:r>
          </w:p>
        </w:tc>
        <w:tc>
          <w:tcPr>
            <w:cnfStyle w:evenVBand="true" w:oddVBand="false" w:firstColumn="false"/>
            <w:tcW w:w="13.727455%" w:type="pct"/>
          </w:tcPr>
          <w:p>
            <w:pPr>
              <w:pStyle w:val="table-level-0"/>
              <w:ind w:leftChars="0" w:left="0" w:right="0"/>
              <w:keepNext/>
            </w:pPr>
            <w:r>
              <w:t>-270,1</w:t>
            </w:r>
          </w:p>
        </w:tc>
        <w:tc>
          <w:tcPr>
            <w:cnfStyle w:evenVBand="false" w:oddVBand="true" w:firstColumn="false"/>
            <w:tcW w:w="13.727455%" w:type="pct"/>
          </w:tcPr>
          <w:p>
            <w:pPr>
              <w:pStyle w:val="table-level-0"/>
              <w:ind w:leftChars="0" w:left="0" w:right="0"/>
              <w:keepNext/>
            </w:pPr>
            <w:r>
              <w:t>-343,9</w:t>
            </w:r>
          </w:p>
        </w:tc>
        <w:tc>
          <w:tcPr>
            <w:cnfStyle w:evenVBand="true" w:oddVBand="false" w:firstColumn="false"/>
            <w:tcW w:w="13.727455%" w:type="pct"/>
          </w:tcPr>
          <w:p>
            <w:pPr>
              <w:pStyle w:val="table-level-0"/>
              <w:ind w:leftChars="0" w:left="0" w:right="0"/>
              <w:keepNext/>
            </w:pPr>
            <w:r>
              <w:t>-375,5</w:t>
            </w:r>
          </w:p>
        </w:tc>
        <w:tc>
          <w:tcPr>
            <w:cnfStyle w:evenVBand="false" w:oddVBand="true" w:firstColumn="false"/>
            <w:tcW w:w="13.727455%" w:type="pct"/>
          </w:tcPr>
          <w:p>
            <w:pPr>
              <w:pStyle w:val="table-level-0"/>
              <w:ind w:leftChars="0" w:left="0" w:right="0"/>
              <w:keepNext/>
            </w:pPr>
            <w:r>
              <w:t>-292,5</w:t>
            </w:r>
          </w:p>
        </w:tc>
        <w:tc>
          <w:tcPr>
            <w:cnfStyle w:evenVBand="true" w:oddVBand="false" w:firstColumn="false"/>
            <w:tcW w:w="13.727455%" w:type="pct"/>
          </w:tcPr>
          <w:p>
            <w:pPr>
              <w:pStyle w:val="table-level-0"/>
              <w:ind w:leftChars="0" w:left="0" w:right="0"/>
              <w:keepNext/>
            </w:pPr>
            <w:r>
              <w:t>-164,3</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IVA</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3</w:t>
            </w:r>
          </w:p>
        </w:tc>
        <w:tc>
          <w:tcPr>
            <w:cnfStyle w:evenVBand="true" w:oddVBand="false" w:firstColumn="false"/>
            <w:tcW w:w="13.727455%" w:type="pct"/>
          </w:tcPr>
          <w:p>
            <w:pPr>
              <w:pStyle w:val="table-level-0"/>
              <w:ind w:leftChars="0" w:left="0" w:right="0"/>
              <w:keepNext/>
            </w:pPr>
            <w:r>
              <w:t>3</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IVA</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10</w:t>
            </w:r>
          </w:p>
        </w:tc>
        <w:tc>
          <w:tcPr>
            <w:cnfStyle w:evenVBand="true" w:oddVBand="false" w:firstColumn="false"/>
            <w:tcW w:w="13.727455%" w:type="pct"/>
          </w:tcPr>
          <w:p>
            <w:pPr>
              <w:pStyle w:val="table-level-0"/>
              <w:ind w:leftChars="0" w:left="0" w:right="0"/>
              <w:keepNext/>
            </w:pPr>
            <w:r>
              <w:t>14,5</w:t>
            </w:r>
          </w:p>
        </w:tc>
        <w:tc>
          <w:tcPr>
            <w:cnfStyle w:evenVBand="false" w:oddVBand="true" w:firstColumn="false"/>
            <w:tcW w:w="13.727455%" w:type="pct"/>
          </w:tcPr>
          <w:p>
            <w:pPr>
              <w:pStyle w:val="table-level-0"/>
              <w:ind w:leftChars="0" w:left="0" w:right="0"/>
              <w:keepNext/>
            </w:pPr>
            <w:r>
              <w:t>-9,5</w:t>
            </w:r>
          </w:p>
        </w:tc>
        <w:tc>
          <w:tcPr>
            <w:cnfStyle w:evenVBand="true" w:oddVBand="false" w:firstColumn="false"/>
            <w:tcW w:w="13.727455%" w:type="pct"/>
          </w:tcPr>
          <w:p>
            <w:pPr>
              <w:pStyle w:val="table-level-0"/>
              <w:ind w:leftChars="0" w:left="0" w:right="0"/>
              <w:keepNext/>
            </w:pPr>
            <w:r>
              <w:t>0,5</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tributari</w:t>
            </w:r>
          </w:p>
        </w:tc>
        <w:tc>
          <w:tcPr>
            <w:cnfStyle w:evenVBand="true" w:oddVBand="false" w:firstColumn="false"/>
            <w:tcW w:w="13.727455%" w:type="pct"/>
          </w:tcPr>
          <w:p>
            <w:pPr>
              <w:pStyle w:val="table-level-0"/>
              <w:ind w:leftChars="0" w:left="0" w:right="0"/>
              <w:keepNext/>
            </w:pPr>
            <w:r>
              <w:t>-14,2</w:t>
            </w:r>
          </w:p>
        </w:tc>
        <w:tc>
          <w:tcPr>
            <w:cnfStyle w:evenVBand="false" w:oddVBand="true" w:firstColumn="false"/>
            <w:tcW w:w="13.727455%" w:type="pct"/>
          </w:tcPr>
          <w:p>
            <w:pPr>
              <w:pStyle w:val="table-level-0"/>
              <w:ind w:leftChars="0" w:left="0" w:right="0"/>
              <w:keepNext/>
            </w:pPr>
            <w:r>
              <w:t>-2,2</w:t>
            </w:r>
          </w:p>
        </w:tc>
        <w:tc>
          <w:tcPr>
            <w:cnfStyle w:evenVBand="true" w:oddVBand="false" w:firstColumn="false"/>
            <w:tcW w:w="13.727455%" w:type="pct"/>
          </w:tcPr>
          <w:p>
            <w:pPr>
              <w:pStyle w:val="table-level-0"/>
              <w:ind w:leftChars="0" w:left="0" w:right="0"/>
              <w:keepNext/>
            </w:pPr>
            <w:r>
              <w:t>0,8</w:t>
            </w:r>
          </w:p>
        </w:tc>
        <w:tc>
          <w:tcPr>
            <w:cnfStyle w:evenVBand="false" w:oddVBand="true" w:firstColumn="false"/>
            <w:tcW w:w="13.727455%" w:type="pct"/>
          </w:tcPr>
          <w:p>
            <w:pPr>
              <w:pStyle w:val="table-level-0"/>
              <w:ind w:leftChars="0" w:left="0" w:right="0"/>
              <w:keepNext/>
            </w:pPr>
            <w:r>
              <w:t>4,8</w:t>
            </w:r>
          </w:p>
        </w:tc>
        <w:tc>
          <w:tcPr>
            <w:cnfStyle w:evenVBand="true" w:oddVBand="false" w:firstColumn="false"/>
            <w:tcW w:w="13.727455%" w:type="pct"/>
          </w:tcPr>
          <w:p>
            <w:pPr>
              <w:pStyle w:val="table-level-0"/>
              <w:ind w:leftChars="0" w:left="0" w:right="0"/>
              <w:keepNext/>
            </w:pPr>
            <w:r>
              <w:t>14,1</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tributari</w:t>
            </w:r>
          </w:p>
        </w:tc>
        <w:tc>
          <w:tcPr>
            <w:cnfStyle w:evenVBand="true" w:oddVBand="false" w:firstColumn="false"/>
            <w:tcW w:w="13.727455%" w:type="pct"/>
          </w:tcPr>
          <w:p>
            <w:pPr>
              <w:pStyle w:val="table-level-0"/>
              <w:ind w:leftChars="0" w:left="0" w:right="0"/>
              <w:keepNext/>
            </w:pPr>
            <w:r>
              <w:t>22</w:t>
            </w:r>
          </w:p>
        </w:tc>
        <w:tc>
          <w:tcPr>
            <w:cnfStyle w:evenVBand="false" w:oddVBand="true" w:firstColumn="false"/>
            <w:tcW w:w="13.727455%" w:type="pct"/>
          </w:tcPr>
          <w:p>
            <w:pPr>
              <w:pStyle w:val="table-level-0"/>
              <w:ind w:leftChars="0" w:left="0" w:right="0"/>
              <w:keepNext/>
            </w:pPr>
            <w:r>
              <w:t>12,5</w:t>
            </w:r>
          </w:p>
        </w:tc>
        <w:tc>
          <w:tcPr>
            <w:cnfStyle w:evenVBand="true" w:oddVBand="false" w:firstColumn="false"/>
            <w:tcW w:w="13.727455%" w:type="pct"/>
          </w:tcPr>
          <w:p>
            <w:pPr>
              <w:pStyle w:val="table-level-0"/>
              <w:ind w:leftChars="0" w:left="0" w:right="0"/>
              <w:keepNext/>
            </w:pPr>
            <w:r>
              <w:t>12</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2</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99b9d2e70f37a487cbd1b7a33b831c62">
              <w:r>
                <w:rPr>
                  <w:rStyle w:val="Hyperlink"/>
                </w:rPr>
                <w:t>Altre variazioni</w:t>
              </w:r>
            </w:hyperlink>
          </w:p>
        </w:tc>
        <w:tc>
          <w:tcPr>
            <w:cnfStyle w:evenVBand="true" w:oddVBand="false" w:firstColumn="false"/>
            <w:tcW w:w="13.727455%" w:type="pct"/>
          </w:tcPr>
          <w:p>
            <w:pPr>
              <w:pStyle w:val="table-level-1"/>
              <w:ind w:leftChars="0" w:left="0" w:right="0"/>
              <w:keepNext/>
            </w:pPr>
            <w:r>
              <w:t>13,8</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10,7</w:t>
            </w:r>
          </w:p>
        </w:tc>
        <w:tc>
          <w:tcPr>
            <w:cnfStyle w:evenVBand="false" w:oddVBand="true" w:firstColumn="false"/>
            <w:tcW w:w="13.727455%" w:type="pct"/>
          </w:tcPr>
          <w:p>
            <w:pPr>
              <w:pStyle w:val="table-level-1"/>
              <w:ind w:leftChars="0" w:left="0" w:right="0"/>
              <w:keepNext/>
            </w:pPr>
            <w:r>
              <w:t>-26,5</w:t>
            </w:r>
          </w:p>
        </w:tc>
        <w:tc>
          <w:tcPr>
            <w:cnfStyle w:evenVBand="true" w:oddVBand="false" w:firstColumn="false"/>
            <w:tcW w:w="13.727455%" w:type="pct"/>
          </w:tcPr>
          <w:p>
            <w:pPr>
              <w:pStyle w:val="table-level-1"/>
              <w:ind w:leftChars="0" w:left="0" w:right="0"/>
              <w:keepNext/>
            </w:pPr>
            <w:r>
              <w:t>-16,3</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crediti v/altri</w:t>
            </w:r>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-1</w:t>
            </w:r>
          </w:p>
        </w:tc>
        <w:tc>
          <w:tcPr>
            <w:cnfStyle w:evenVBand="false" w:oddVBand="true" w:firstColumn="false"/>
            <w:tcW w:w="13.727455%" w:type="pct"/>
          </w:tcPr>
          <w:p>
            <w:pPr>
              <w:pStyle w:val="table-level-0"/>
              <w:ind w:leftChars="0" w:left="0" w:right="0"/>
              <w:keepNext/>
            </w:pPr>
            <w:r>
              <w:t>-1,8</w:t>
            </w:r>
          </w:p>
        </w:tc>
        <w:tc>
          <w:tcPr>
            <w:cnfStyle w:evenVBand="true" w:oddVBand="false" w:firstColumn="false"/>
            <w:tcW w:w="13.727455%" w:type="pct"/>
          </w:tcPr>
          <w:p>
            <w:pPr>
              <w:pStyle w:val="table-level-0"/>
              <w:ind w:leftChars="0" w:left="0" w:right="0"/>
              <w:keepNext/>
            </w:pPr>
            <w:r>
              <w:t>-1,6</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debiti v/altri</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45</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-20</w:t>
            </w:r>
          </w:p>
        </w:tc>
        <w:tc>
          <w:tcPr>
            <w:cnfStyle w:evenVBand="true" w:oddVBand="false" w:firstColumn="false"/>
            <w:tcW w:w="13.727455%" w:type="pct"/>
          </w:tcPr>
          <w:p>
            <w:pPr>
              <w:pStyle w:val="table-level-0"/>
              <w:ind w:leftChars="0" w:left="0" w:right="0"/>
              <w:keepNext/>
            </w:pPr>
            <w:r>
              <w:t>-20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ratei/risconti attivi</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-1</w:t>
            </w:r>
          </w:p>
        </w:tc>
        <w:tc>
          <w:tcPr>
            <w:cnfStyle w:evenVBand="true" w:oddVBand="false" w:firstColumn="false"/>
            <w:tcW w:w="13.727455%" w:type="pct"/>
          </w:tcPr>
          <w:p>
            <w:pPr>
              <w:pStyle w:val="table-level-0"/>
              <w:ind w:leftChars="0" w:left="0" w:right="0"/>
              <w:keepNext/>
            </w:pPr>
            <w:r>
              <w:t>-1</w:t>
            </w:r>
          </w:p>
        </w:tc>
        <w:tc>
          <w:tcPr>
            <w:cnfStyle w:evenVBand="false" w:oddVBand="true" w:firstColumn="false"/>
            <w:tcW w:w="13.727455%" w:type="pct"/>
          </w:tcPr>
          <w:p>
            <w:pPr>
              <w:pStyle w:val="table-level-0"/>
              <w:ind w:leftChars="0" w:left="0" w:right="0"/>
              <w:keepNext/>
            </w:pPr>
            <w:r>
              <w:t>-0,2</w:t>
            </w:r>
          </w:p>
        </w:tc>
        <w:tc>
          <w:tcPr>
            <w:cnfStyle w:evenVBand="true" w:oddVBand="false" w:firstColumn="false"/>
            <w:tcW w:w="13.727455%" w:type="pct"/>
          </w:tcPr>
          <w:p>
            <w:pPr>
              <w:pStyle w:val="table-level-0"/>
              <w:ind w:leftChars="0" w:left="0" w:right="0"/>
              <w:keepNext/>
            </w:pPr>
            <w:r>
              <w:t>-0,2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ratei/risconti passivi</w:t>
            </w:r>
          </w:p>
        </w:tc>
        <w:tc>
          <w:tcPr>
            <w:cnfStyle w:evenVBand="true" w:oddVBand="false" w:firstColumn="false"/>
            <w:tcW w:w="13.727455%" w:type="pct"/>
          </w:tcPr>
          <w:p>
            <w:pPr>
              <w:pStyle w:val="table-level-0"/>
              <w:ind w:leftChars="0" w:left="0" w:right="0"/>
              <w:keepNext/>
            </w:pPr>
            <w:r>
              <w:t>-2,7</w:t>
            </w:r>
          </w:p>
        </w:tc>
        <w:tc>
          <w:tcPr>
            <w:cnfStyle w:evenVBand="false" w:oddVBand="true" w:firstColumn="false"/>
            <w:tcW w:w="13.727455%" w:type="pct"/>
          </w:tcPr>
          <w:p>
            <w:pPr>
              <w:pStyle w:val="table-level-0"/>
              <w:ind w:leftChars="0" w:left="0" w:right="0"/>
              <w:keepNext/>
            </w:pPr>
            <w:r>
              <w:t>-4</w:t>
            </w:r>
          </w:p>
        </w:tc>
        <w:tc>
          <w:tcPr>
            <w:cnfStyle w:evenVBand="true" w:oddVBand="false" w:firstColumn="false"/>
            <w:tcW w:w="13.727455%" w:type="pct"/>
          </w:tcPr>
          <w:p>
            <w:pPr>
              <w:pStyle w:val="table-level-0"/>
              <w:ind w:leftChars="0" w:left="0" w:right="0"/>
              <w:keepNext/>
            </w:pPr>
            <w:r>
              <w:t>-2,3</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7</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Svalutazioni nell’attivo circolante</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-1,5</w:t>
            </w:r>
          </w:p>
        </w:tc>
      </w:tr>
      <w:tr>
        <w:trPr>
          <w:cnfStyle w:evenHBand="true" w:oddHBand="false" w:firstRow="false"/>
          <w:cantSplit/>
        </w:trPr>
        <w:tc>
          <w:tcPr>
            <w:cnfStyle w:evenVBand="false" w:oddVBand="true" w:firstColumn="false"/>
            <w:tcW w:w="31.362725%" w:type="pct"/>
          </w:tcPr>
          <w:p>
            <w:pPr>
              <w:pStyle w:val="index-table-level-2"/>
              <w:ind w:leftChars="0" w:left="0" w:right="0"/>
              <w:keepNext/>
            </w:pPr>
            <w:hyperlink w:anchor="_80ebf7b5f2d7069d36d08250b84ae400">
              <w:r>
                <w:rPr>
                  <w:rStyle w:val="Hyperlink"/>
                </w:rPr>
                <w:t>Variazione di fondi</w:t>
              </w:r>
            </w:hyperlink>
          </w:p>
        </w:tc>
        <w:tc>
          <w:tcPr>
            <w:cnfStyle w:evenVBand="true" w:oddVBand="false" w:firstColumn="false"/>
            <w:tcW w:w="13.727455%" w:type="pct"/>
          </w:tcPr>
          <w:p>
            <w:pPr>
              <w:pStyle w:val="table-level-2"/>
              <w:ind w:leftChars="0" w:left="0" w:right="0"/>
              <w:keepNext/>
            </w:pPr>
            <w:r>
              <w:t>115</w:t>
            </w:r>
          </w:p>
        </w:tc>
        <w:tc>
          <w:tcPr>
            <w:cnfStyle w:evenVBand="false" w:oddVBand="true" w:firstColumn="false"/>
            <w:tcW w:w="13.727455%" w:type="pct"/>
          </w:tcPr>
          <w:p>
            <w:pPr>
              <w:pStyle w:val="table-level-2"/>
              <w:ind w:leftChars="0" w:left="0" w:right="0"/>
              <w:keepNext/>
            </w:pPr>
            <w:r>
              <w:t>95</w:t>
            </w:r>
          </w:p>
        </w:tc>
        <w:tc>
          <w:tcPr>
            <w:cnfStyle w:evenVBand="true" w:oddVBand="false" w:firstColumn="false"/>
            <w:tcW w:w="13.727455%" w:type="pct"/>
          </w:tcPr>
          <w:p>
            <w:pPr>
              <w:pStyle w:val="table-level-2"/>
              <w:ind w:leftChars="0" w:left="0" w:right="0"/>
              <w:keepNext/>
            </w:pPr>
            <w:r>
              <w:t>100</w:t>
            </w:r>
          </w:p>
        </w:tc>
        <w:tc>
          <w:tcPr>
            <w:cnfStyle w:evenVBand="false" w:oddVBand="true" w:firstColumn="false"/>
            <w:tcW w:w="13.727455%" w:type="pct"/>
          </w:tcPr>
          <w:p>
            <w:pPr>
              <w:pStyle w:val="table-level-2"/>
              <w:ind w:leftChars="0" w:left="0" w:right="0"/>
              <w:keepNext/>
            </w:pPr>
            <w:r>
              <w:t>25</w:t>
            </w:r>
          </w:p>
        </w:tc>
        <w:tc>
          <w:tcPr>
            <w:cnfStyle w:evenVBand="true" w:oddVBand="false" w:firstColumn="false"/>
            <w:tcW w:w="13.727455%" w:type="pct"/>
          </w:tcPr>
          <w:p>
            <w:pPr>
              <w:pStyle w:val="table-level-2"/>
              <w:ind w:leftChars="0" w:left="0" w:right="0"/>
              <w:keepNext/>
            </w:pPr>
            <w:r>
              <w:t>-7</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r>
              <w:t>Flussi att. operativa corrente</w:t>
            </w:r>
          </w:p>
        </w:tc>
        <w:tc>
          <w:tcPr>
            <w:cnfStyle w:evenVBand="true" w:oddVBand="false" w:firstColumn="false"/>
            <w:tcW w:w="13.727455%" w:type="pct"/>
          </w:tcPr>
          <w:p>
            <w:pPr>
              <w:pStyle w:val="table-level-300"/>
              <w:ind w:leftChars="0" w:left="0" w:right="0"/>
              <w:keepNext/>
            </w:pPr>
            <w:r>
              <w:t>1.445</w:t>
            </w:r>
          </w:p>
        </w:tc>
        <w:tc>
          <w:tcPr>
            <w:cnfStyle w:evenVBand="false" w:oddVBand="true" w:firstColumn="false"/>
            <w:tcW w:w="13.727455%" w:type="pct"/>
          </w:tcPr>
          <w:p>
            <w:pPr>
              <w:pStyle w:val="table-level-300"/>
              <w:ind w:leftChars="0" w:left="0" w:right="0"/>
              <w:keepNext/>
            </w:pPr>
            <w:r>
              <w:t>1.502</w:t>
            </w:r>
          </w:p>
        </w:tc>
        <w:tc>
          <w:tcPr>
            <w:cnfStyle w:evenVBand="true" w:oddVBand="false" w:firstColumn="false"/>
            <w:tcW w:w="13.727455%" w:type="pct"/>
          </w:tcPr>
          <w:p>
            <w:pPr>
              <w:pStyle w:val="table-level-300"/>
              <w:ind w:leftChars="0" w:left="0" w:right="0"/>
              <w:keepNext/>
            </w:pPr>
            <w:r>
              <w:t>1.327</w:t>
            </w:r>
          </w:p>
        </w:tc>
        <w:tc>
          <w:tcPr>
            <w:cnfStyle w:evenVBand="false" w:oddVBand="true" w:firstColumn="false"/>
            <w:tcW w:w="13.727455%" w:type="pct"/>
          </w:tcPr>
          <w:p>
            <w:pPr>
              <w:pStyle w:val="table-level-300"/>
              <w:ind w:leftChars="0" w:left="0" w:right="0"/>
              <w:keepNext/>
            </w:pPr>
            <w:r>
              <w:t>1.193</w:t>
            </w:r>
          </w:p>
        </w:tc>
        <w:tc>
          <w:tcPr>
            <w:cnfStyle w:evenVBand="true" w:oddVBand="false" w:firstColumn="false"/>
            <w:tcW w:w="13.727455%" w:type="pct"/>
          </w:tcPr>
          <w:p>
            <w:pPr>
              <w:pStyle w:val="table-level-300"/>
              <w:ind w:leftChars="0" w:left="0" w:right="0"/>
              <w:keepNext/>
            </w:pPr>
            <w:r>
              <w:t>987,8</w:t>
            </w:r>
          </w:p>
        </w:tc>
      </w:tr>
      <w:tr>
        <w:trPr>
          <w:cnfStyle w:evenHBand="true" w:oddHBand="false" w:firstRow="false"/>
          <w:cantSplit/>
        </w:trPr>
        <w:tc>
          <w:tcPr>
            <w:cnfStyle w:evenVBand="false" w:oddVBand="true" w:firstColumn="false"/>
            <w:tcW w:w="31.362725%" w:type="pct"/>
          </w:tcPr>
          <w:p>
            <w:pPr>
              <w:pStyle w:val="index-table-level-2"/>
              <w:ind w:leftChars="0" w:left="0" w:right="0"/>
              <w:keepNext/>
            </w:pPr>
            <w:hyperlink w:anchor="_92b03bd388110428e77863720e388821">
              <w:r>
                <w:rPr>
                  <w:rStyle w:val="Hyperlink"/>
                </w:rPr>
                <w:t>Flussi investimenti operativi</w:t>
              </w:r>
            </w:hyperlink>
          </w:p>
        </w:tc>
        <w:tc>
          <w:tcPr>
            <w:cnfStyle w:evenVBand="true" w:oddVBand="false" w:firstColumn="false"/>
            <w:tcW w:w="13.727455%" w:type="pct"/>
          </w:tcPr>
          <w:p>
            <w:pPr>
              <w:pStyle w:val="table-level-2"/>
              <w:ind w:leftChars="0" w:left="0" w:right="0"/>
              <w:keepNext/>
            </w:pPr>
            <w:r>
              <w:t>-1.403</w:t>
            </w:r>
          </w:p>
        </w:tc>
        <w:tc>
          <w:tcPr>
            <w:cnfStyle w:evenVBand="false" w:oddVBand="true" w:firstColumn="false"/>
            <w:tcW w:w="13.727455%" w:type="pct"/>
          </w:tcPr>
          <w:p>
            <w:pPr>
              <w:pStyle w:val="table-level-2"/>
              <w:ind w:leftChars="0" w:left="0" w:right="0"/>
              <w:keepNext/>
            </w:pPr>
            <w:r>
              <w:t>-1.720</w:t>
            </w:r>
          </w:p>
        </w:tc>
        <w:tc>
          <w:tcPr>
            <w:cnfStyle w:evenVBand="true" w:oddVBand="false" w:firstColumn="false"/>
            <w:tcW w:w="13.727455%" w:type="pct"/>
          </w:tcPr>
          <w:p>
            <w:pPr>
              <w:pStyle w:val="table-level-2"/>
              <w:ind w:leftChars="0" w:left="0" w:right="0"/>
              <w:keepNext/>
            </w:pPr>
            <w:r>
              <w:t>-523</w:t>
            </w:r>
          </w:p>
        </w:tc>
        <w:tc>
          <w:tcPr>
            <w:cnfStyle w:evenVBand="false" w:oddVBand="true" w:firstColumn="false"/>
            <w:tcW w:w="13.727455%" w:type="pct"/>
          </w:tcPr>
          <w:p>
            <w:pPr>
              <w:pStyle w:val="table-level-2"/>
              <w:ind w:leftChars="0" w:left="0" w:right="0"/>
              <w:keepNext/>
            </w:pPr>
            <w:r>
              <w:t>-925</w:t>
            </w:r>
          </w:p>
        </w:tc>
        <w:tc>
          <w:tcPr>
            <w:cnfStyle w:evenVBand="true" w:oddVBand="false" w:firstColumn="false"/>
            <w:tcW w:w="13.727455%" w:type="pct"/>
          </w:tcPr>
          <w:p>
            <w:pPr>
              <w:pStyle w:val="table-level-2"/>
              <w:ind w:leftChars="0" w:left="0" w:right="0"/>
              <w:keepNext/>
            </w:pPr>
            <w:r>
              <w:t>-757</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r>
              <w:t>-/+ immob. immateriali</w:t>
            </w:r>
          </w:p>
        </w:tc>
        <w:tc>
          <w:tcPr>
            <w:cnfStyle w:evenVBand="true" w:oddVBand="false" w:firstColumn="false"/>
            <w:tcW w:w="13.727455%" w:type="pct"/>
          </w:tcPr>
          <w:p>
            <w:pPr>
              <w:pStyle w:val="table-level-1"/>
              <w:ind w:leftChars="0" w:left="0" w:right="0"/>
              <w:keepNext/>
            </w:pPr>
            <w:r>
              <w:t>-73</w:t>
            </w:r>
          </w:p>
        </w:tc>
        <w:tc>
          <w:tcPr>
            <w:cnfStyle w:evenVBand="false" w:oddVBand="true" w:firstColumn="false"/>
            <w:tcW w:w="13.727455%" w:type="pct"/>
          </w:tcPr>
          <w:p>
            <w:pPr>
              <w:pStyle w:val="table-level-1"/>
              <w:ind w:leftChars="0" w:left="0" w:right="0"/>
              <w:keepNext/>
            </w:pPr>
            <w:r>
              <w:t>-38,5</w:t>
            </w:r>
          </w:p>
        </w:tc>
        <w:tc>
          <w:tcPr>
            <w:cnfStyle w:evenVBand="true" w:oddVBand="false" w:firstColumn="false"/>
            <w:tcW w:w="13.727455%" w:type="pct"/>
          </w:tcPr>
          <w:p>
            <w:pPr>
              <w:pStyle w:val="table-level-1"/>
              <w:ind w:leftChars="0" w:left="0" w:right="0"/>
              <w:keepNext/>
            </w:pPr>
            <w:r>
              <w:t>-78</w:t>
            </w:r>
          </w:p>
        </w:tc>
        <w:tc>
          <w:tcPr>
            <w:cnfStyle w:evenVBand="false" w:oddVBand="true" w:firstColumn="false"/>
            <w:tcW w:w="13.727455%" w:type="pct"/>
          </w:tcPr>
          <w:p>
            <w:pPr>
              <w:pStyle w:val="table-level-1"/>
              <w:ind w:leftChars="0" w:left="0" w:right="0"/>
              <w:keepNext/>
            </w:pPr>
            <w:r>
              <w:t>-25</w:t>
            </w:r>
          </w:p>
        </w:tc>
        <w:tc>
          <w:tcPr>
            <w:cnfStyle w:evenVBand="true" w:oddVBand="false" w:firstColumn="false"/>
            <w:tcW w:w="13.727455%" w:type="pct"/>
          </w:tcPr>
          <w:p>
            <w:pPr>
              <w:pStyle w:val="table-level-1"/>
              <w:ind w:leftChars="0" w:left="0" w:right="0"/>
              <w:keepNext/>
            </w:pPr>
            <w:r>
              <w:t>-10</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 immob. materiali</w:t>
            </w:r>
          </w:p>
        </w:tc>
        <w:tc>
          <w:tcPr>
            <w:cnfStyle w:evenVBand="true" w:oddVBand="false" w:firstColumn="false"/>
            <w:tcW w:w="13.727455%" w:type="pct"/>
          </w:tcPr>
          <w:p>
            <w:pPr>
              <w:pStyle w:val="table-level-1"/>
              <w:ind w:leftChars="0" w:left="0" w:right="0"/>
              <w:keepNext/>
            </w:pPr>
            <w:r>
              <w:t>-1.328</w:t>
            </w:r>
          </w:p>
        </w:tc>
        <w:tc>
          <w:tcPr>
            <w:cnfStyle w:evenVBand="false" w:oddVBand="true" w:firstColumn="false"/>
            <w:tcW w:w="13.727455%" w:type="pct"/>
          </w:tcPr>
          <w:p>
            <w:pPr>
              <w:pStyle w:val="table-level-1"/>
              <w:ind w:leftChars="0" w:left="0" w:right="0"/>
              <w:keepNext/>
            </w:pPr>
            <w:r>
              <w:t>-1.681</w:t>
            </w:r>
          </w:p>
        </w:tc>
        <w:tc>
          <w:tcPr>
            <w:cnfStyle w:evenVBand="true" w:oddVBand="false" w:firstColumn="false"/>
            <w:tcW w:w="13.727455%" w:type="pct"/>
          </w:tcPr>
          <w:p>
            <w:pPr>
              <w:pStyle w:val="table-level-1"/>
              <w:ind w:leftChars="0" w:left="0" w:right="0"/>
              <w:keepNext/>
            </w:pPr>
            <w:r>
              <w:t>-443,5</w:t>
            </w:r>
          </w:p>
        </w:tc>
        <w:tc>
          <w:tcPr>
            <w:cnfStyle w:evenVBand="false" w:oddVBand="true" w:firstColumn="false"/>
            <w:tcW w:w="13.727455%" w:type="pct"/>
          </w:tcPr>
          <w:p>
            <w:pPr>
              <w:pStyle w:val="table-level-1"/>
              <w:ind w:leftChars="0" w:left="0" w:right="0"/>
              <w:keepNext/>
            </w:pPr>
            <w:r>
              <w:t>-900</w:t>
            </w:r>
          </w:p>
        </w:tc>
        <w:tc>
          <w:tcPr>
            <w:cnfStyle w:evenVBand="true" w:oddVBand="false" w:firstColumn="false"/>
            <w:tcW w:w="13.727455%" w:type="pct"/>
          </w:tcPr>
          <w:p>
            <w:pPr>
              <w:pStyle w:val="table-level-1"/>
              <w:ind w:leftChars="0" w:left="0" w:right="0"/>
              <w:keepNext/>
            </w:pPr>
            <w:r>
              <w:t>-745</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r>
              <w:t>Svalutazioni di immobilizzazioni</w:t>
            </w:r>
          </w:p>
        </w:tc>
        <w:tc>
          <w:tcPr>
            <w:cnfStyle w:evenVBand="true" w:oddVBand="false" w:firstColumn="false"/>
            <w:tcW w:w="13.727455%" w:type="pct"/>
          </w:tcPr>
          <w:p>
            <w:pPr>
              <w:pStyle w:val="table-level-1"/>
              <w:ind w:leftChars="0" w:left="0" w:right="0"/>
              <w:keepNext/>
            </w:pPr>
            <w:r>
              <w:t>-2</w:t>
            </w:r>
          </w:p>
        </w:tc>
        <w:tc>
          <w:tcPr>
            <w:cnfStyle w:evenVBand="false" w:oddVBand="true" w:firstColumn="false"/>
            <w:tcW w:w="13.727455%" w:type="pct"/>
          </w:tcPr>
          <w:p>
            <w:pPr>
              <w:pStyle w:val="table-level-1"/>
              <w:ind w:leftChars="0" w:left="0" w:right="0"/>
              <w:keepNext/>
            </w:pPr>
            <w:r>
              <w:t>0</w:t>
            </w:r>
          </w:p>
        </w:tc>
        <w:tc>
          <w:tcPr>
            <w:cnfStyle w:evenVBand="true" w:oddVBand="false" w:firstColumn="false"/>
            <w:tcW w:w="13.727455%" w:type="pct"/>
          </w:tcPr>
          <w:p>
            <w:pPr>
              <w:pStyle w:val="table-level-1"/>
              <w:ind w:leftChars="0" w:left="0" w:right="0"/>
              <w:keepNext/>
            </w:pPr>
            <w:r>
              <w:t>-1,5</w:t>
            </w:r>
          </w:p>
        </w:tc>
        <w:tc>
          <w:tcPr>
            <w:cnfStyle w:evenVBand="false" w:oddVBand="true" w:firstColumn="false"/>
            <w:tcW w:w="13.727455%" w:type="pct"/>
          </w:tcPr>
          <w:p>
            <w:pPr>
              <w:pStyle w:val="table-level-1"/>
              <w:ind w:leftChars="0" w:left="0" w:right="0"/>
              <w:keepNext/>
            </w:pPr>
            <w:r>
              <w:t>0</w:t>
            </w:r>
          </w:p>
        </w:tc>
        <w:tc>
          <w:tcPr>
            <w:cnfStyle w:evenVBand="true" w:oddVBand="false" w:firstColumn="false"/>
            <w:tcW w:w="13.727455%" w:type="pct"/>
          </w:tcPr>
          <w:p>
            <w:pPr>
              <w:pStyle w:val="table-level-1"/>
              <w:ind w:leftChars="0" w:left="0" w:right="0"/>
              <w:keepNext/>
            </w:pPr>
            <w:r>
              <w:t>-2</w:t>
            </w:r>
          </w:p>
        </w:tc>
      </w:tr>
      <w:tr>
        <w:trPr>
          <w:cnfStyle w:evenHBand="true" w:oddHBand="false" w:firstRow="false"/>
          <w:cantSplit/>
        </w:trPr>
        <w:tc>
          <w:tcPr>
            <w:cnfStyle w:evenVBand="false" w:oddVBand="true" w:firstColumn="false"/>
            <w:tcW w:w="31.362725%" w:type="pct"/>
          </w:tcPr>
          <w:p>
            <w:pPr>
              <w:pStyle w:val="index-table-level-300"/>
              <w:ind w:leftChars="0" w:left="0" w:right="0"/>
              <w:keepNext/>
            </w:pPr>
            <w:hyperlink w:anchor="_76909470d4edd94bb46625707f494450">
              <w:r>
                <w:rPr>
                  <w:rStyle w:val="Hyperlink"/>
                </w:rPr>
                <w:t>Flussi di cassa operativi</w:t>
              </w:r>
            </w:hyperlink>
          </w:p>
        </w:tc>
        <w:tc>
          <w:tcPr>
            <w:cnfStyle w:evenVBand="true" w:oddVBand="false" w:firstColumn="false"/>
            <w:tcW w:w="13.727455%" w:type="pct"/>
          </w:tcPr>
          <w:p>
            <w:pPr>
              <w:pStyle w:val="table-level-300"/>
              <w:ind w:leftChars="0" w:left="0" w:right="0"/>
              <w:keepNext/>
            </w:pPr>
            <w:r>
              <w:t>41,9</w:t>
            </w:r>
          </w:p>
        </w:tc>
        <w:tc>
          <w:tcPr>
            <w:cnfStyle w:evenVBand="false" w:oddVBand="true" w:firstColumn="false"/>
            <w:tcW w:w="13.727455%" w:type="pct"/>
          </w:tcPr>
          <w:p>
            <w:pPr>
              <w:pStyle w:val="table-level-300"/>
              <w:ind w:leftChars="0" w:left="0" w:right="0"/>
              <w:keepNext/>
            </w:pPr>
            <w:r>
              <w:t>-217,3</w:t>
            </w:r>
          </w:p>
        </w:tc>
        <w:tc>
          <w:tcPr>
            <w:cnfStyle w:evenVBand="true" w:oddVBand="false" w:firstColumn="false"/>
            <w:tcW w:w="13.727455%" w:type="pct"/>
          </w:tcPr>
          <w:p>
            <w:pPr>
              <w:pStyle w:val="table-level-300"/>
              <w:ind w:leftChars="0" w:left="0" w:right="0"/>
              <w:keepNext/>
            </w:pPr>
            <w:r>
              <w:t>804,3</w:t>
            </w:r>
          </w:p>
        </w:tc>
        <w:tc>
          <w:tcPr>
            <w:cnfStyle w:evenVBand="false" w:oddVBand="true" w:firstColumn="false"/>
            <w:tcW w:w="13.727455%" w:type="pct"/>
          </w:tcPr>
          <w:p>
            <w:pPr>
              <w:pStyle w:val="table-level-300"/>
              <w:ind w:leftChars="0" w:left="0" w:right="0"/>
              <w:keepNext/>
            </w:pPr>
            <w:r>
              <w:t>268,1</w:t>
            </w:r>
          </w:p>
        </w:tc>
        <w:tc>
          <w:tcPr>
            <w:cnfStyle w:evenVBand="true" w:oddVBand="false" w:firstColumn="false"/>
            <w:tcW w:w="13.727455%" w:type="pct"/>
          </w:tcPr>
          <w:p>
            <w:pPr>
              <w:pStyle w:val="table-level-300"/>
              <w:ind w:leftChars="0" w:left="0" w:right="0"/>
              <w:keepNext/>
            </w:pPr>
            <w:r>
              <w:t>230,8</w:t>
            </w:r>
          </w:p>
        </w:tc>
      </w:tr>
      <w:tr>
        <w:trPr>
          <w:cnfStyle w:evenHBand="false" w:oddHBand="true" w:firstRow="false"/>
          <w:cantSplit/>
        </w:trPr>
        <w:tc>
          <w:tcPr>
            <w:cnfStyle w:evenVBand="false" w:oddVBand="true" w:firstColumn="false"/>
            <w:tcW w:w="31.362725%" w:type="pct"/>
          </w:tcPr>
          <w:p>
            <w:pPr>
              <w:pStyle w:val="index-table-level-2"/>
              <w:ind w:leftChars="0" w:left="0" w:right="0"/>
              <w:keepNext/>
            </w:pPr>
            <w:r>
              <w:t>Flussi attività finanziarie</w:t>
            </w:r>
          </w:p>
        </w:tc>
        <w:tc>
          <w:tcPr>
            <w:cnfStyle w:evenVBand="true" w:oddVBand="false" w:firstColumn="false"/>
            <w:tcW w:w="13.727455%" w:type="pct"/>
          </w:tcPr>
          <w:p>
            <w:pPr>
              <w:pStyle w:val="table-level-2"/>
              <w:ind w:leftChars="0" w:left="0" w:right="0"/>
              <w:keepNext/>
            </w:pPr>
            <w:r>
              <w:t>5</w:t>
            </w:r>
          </w:p>
        </w:tc>
        <w:tc>
          <w:tcPr>
            <w:cnfStyle w:evenVBand="false" w:oddVBand="true" w:firstColumn="false"/>
            <w:tcW w:w="13.727455%" w:type="pct"/>
          </w:tcPr>
          <w:p>
            <w:pPr>
              <w:pStyle w:val="table-level-2"/>
              <w:ind w:leftChars="0" w:left="0" w:right="0"/>
              <w:keepNext/>
            </w:pPr>
            <w:r>
              <w:t>16</w:t>
            </w:r>
          </w:p>
        </w:tc>
        <w:tc>
          <w:tcPr>
            <w:cnfStyle w:evenVBand="true" w:oddVBand="false" w:firstColumn="false"/>
            <w:tcW w:w="13.727455%" w:type="pct"/>
          </w:tcPr>
          <w:p>
            <w:pPr>
              <w:pStyle w:val="table-level-2"/>
              <w:ind w:leftChars="0" w:left="0" w:right="0"/>
              <w:keepNext/>
            </w:pPr>
            <w:r>
              <w:t>15,1</w:t>
            </w:r>
          </w:p>
        </w:tc>
        <w:tc>
          <w:tcPr>
            <w:cnfStyle w:evenVBand="false" w:oddVBand="true" w:firstColumn="false"/>
            <w:tcW w:w="13.727455%" w:type="pct"/>
          </w:tcPr>
          <w:p>
            <w:pPr>
              <w:pStyle w:val="table-level-2"/>
              <w:ind w:leftChars="0" w:left="0" w:right="0"/>
              <w:keepNext/>
            </w:pPr>
            <w:r>
              <w:t>8,1</w:t>
            </w:r>
          </w:p>
        </w:tc>
        <w:tc>
          <w:tcPr>
            <w:cnfStyle w:evenVBand="true" w:oddVBand="false" w:firstColumn="false"/>
            <w:tcW w:w="13.727455%" w:type="pct"/>
          </w:tcPr>
          <w:p>
            <w:pPr>
              <w:pStyle w:val="table-level-2"/>
              <w:ind w:leftChars="0" w:left="0" w:right="0"/>
              <w:keepNext/>
            </w:pPr>
            <w:r>
              <w:t>25,2</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8d641bd68512920159375a8042dce5c2">
              <w:r>
                <w:rPr>
                  <w:rStyle w:val="Hyperlink"/>
                </w:rPr>
                <w:t>Proventi finanziari</w:t>
              </w:r>
            </w:hyperlink>
          </w:p>
        </w:tc>
        <w:tc>
          <w:tcPr>
            <w:cnfStyle w:evenVBand="true" w:oddVBand="false" w:firstColumn="false"/>
            <w:tcW w:w="13.727455%" w:type="pct"/>
          </w:tcPr>
          <w:p>
            <w:pPr>
              <w:pStyle w:val="table-level-1"/>
              <w:ind w:leftChars="0" w:left="0" w:right="0"/>
              <w:keepNext/>
            </w:pPr>
            <w:r>
              <w:t>11</w:t>
            </w:r>
          </w:p>
        </w:tc>
        <w:tc>
          <w:tcPr>
            <w:cnfStyle w:evenVBand="false" w:oddVBand="true" w:firstColumn="false"/>
            <w:tcW w:w="13.727455%" w:type="pct"/>
          </w:tcPr>
          <w:p>
            <w:pPr>
              <w:pStyle w:val="table-level-1"/>
              <w:ind w:leftChars="0" w:left="0" w:right="0"/>
              <w:keepNext/>
            </w:pPr>
            <w:r>
              <w:t>13,3</w:t>
            </w:r>
          </w:p>
        </w:tc>
        <w:tc>
          <w:tcPr>
            <w:cnfStyle w:evenVBand="true" w:oddVBand="false" w:firstColumn="false"/>
            <w:tcW w:w="13.727455%" w:type="pct"/>
          </w:tcPr>
          <w:p>
            <w:pPr>
              <w:pStyle w:val="table-level-1"/>
              <w:ind w:leftChars="0" w:left="0" w:right="0"/>
              <w:keepNext/>
            </w:pPr>
            <w:r>
              <w:t>11,5</w:t>
            </w:r>
          </w:p>
        </w:tc>
        <w:tc>
          <w:tcPr>
            <w:cnfStyle w:evenVBand="false" w:oddVBand="true" w:firstColumn="false"/>
            <w:tcW w:w="13.727455%" w:type="pct"/>
          </w:tcPr>
          <w:p>
            <w:pPr>
              <w:pStyle w:val="table-level-1"/>
              <w:ind w:leftChars="0" w:left="0" w:right="0"/>
              <w:keepNext/>
            </w:pPr>
            <w:r>
              <w:t>10,2</w:t>
            </w:r>
          </w:p>
        </w:tc>
        <w:tc>
          <w:tcPr>
            <w:cnfStyle w:evenVBand="true" w:oddVBand="false" w:firstColumn="false"/>
            <w:tcW w:w="13.727455%" w:type="pct"/>
          </w:tcPr>
          <w:p>
            <w:pPr>
              <w:pStyle w:val="table-level-1"/>
              <w:ind w:leftChars="0" w:left="0" w:right="0"/>
              <w:keepNext/>
            </w:pPr>
            <w:r>
              <w:t>15,2</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831cb6e789be9f18a9804616db63ed25">
              <w:r>
                <w:rPr>
                  <w:rStyle w:val="Hyperlink"/>
                </w:rPr>
                <w:t>Var. attività finanziarie</w:t>
              </w:r>
            </w:hyperlink>
          </w:p>
        </w:tc>
        <w:tc>
          <w:tcPr>
            <w:cnfStyle w:evenVBand="true" w:oddVBand="false" w:firstColumn="false"/>
            <w:tcW w:w="13.727455%" w:type="pct"/>
          </w:tcPr>
          <w:p>
            <w:pPr>
              <w:pStyle w:val="table-level-1"/>
              <w:ind w:leftChars="0" w:left="0" w:right="0"/>
              <w:keepNext/>
            </w:pPr>
            <w:r>
              <w:t>-11,2</w:t>
            </w:r>
          </w:p>
        </w:tc>
        <w:tc>
          <w:tcPr>
            <w:cnfStyle w:evenVBand="false" w:oddVBand="true" w:firstColumn="false"/>
            <w:tcW w:w="13.727455%" w:type="pct"/>
          </w:tcPr>
          <w:p>
            <w:pPr>
              <w:pStyle w:val="table-level-1"/>
              <w:ind w:leftChars="0" w:left="0" w:right="0"/>
              <w:keepNext/>
            </w:pPr>
            <w:r>
              <w:t>0,95</w:t>
            </w:r>
          </w:p>
        </w:tc>
        <w:tc>
          <w:tcPr>
            <w:cnfStyle w:evenVBand="true" w:oddVBand="false" w:firstColumn="false"/>
            <w:tcW w:w="13.727455%" w:type="pct"/>
          </w:tcPr>
          <w:p>
            <w:pPr>
              <w:pStyle w:val="table-level-1"/>
              <w:ind w:leftChars="0" w:left="0" w:right="0"/>
              <w:keepNext/>
            </w:pPr>
            <w:r>
              <w:t>2</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4,2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immob. finanziarie</w:t>
            </w:r>
          </w:p>
        </w:tc>
        <w:tc>
          <w:tcPr>
            <w:cnfStyle w:evenVBand="true" w:oddVBand="false" w:firstColumn="false"/>
            <w:tcW w:w="13.727455%" w:type="pct"/>
          </w:tcPr>
          <w:p>
            <w:pPr>
              <w:pStyle w:val="table-level-0"/>
              <w:ind w:leftChars="0" w:left="0" w:right="0"/>
              <w:keepNext/>
            </w:pPr>
            <w:r>
              <w:t>-11</w:t>
            </w:r>
          </w:p>
        </w:tc>
        <w:tc>
          <w:tcPr>
            <w:cnfStyle w:evenVBand="false" w:oddVBand="true" w:firstColumn="false"/>
            <w:tcW w:w="13.727455%" w:type="pct"/>
          </w:tcPr>
          <w:p>
            <w:pPr>
              <w:pStyle w:val="table-level-0"/>
              <w:ind w:leftChars="0" w:left="0" w:right="0"/>
              <w:keepNext/>
            </w:pPr>
            <w:r>
              <w:t>1</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-2,1</w:t>
            </w:r>
          </w:p>
        </w:tc>
        <w:tc>
          <w:tcPr>
            <w:cnfStyle w:evenVBand="true" w:oddVBand="false" w:firstColumn="false"/>
            <w:tcW w:w="13.727455%" w:type="pct"/>
          </w:tcPr>
          <w:p>
            <w:pPr>
              <w:pStyle w:val="table-level-0"/>
              <w:ind w:leftChars="0" w:left="0" w:right="0"/>
              <w:keepNext/>
            </w:pPr>
            <w:r>
              <w:t>-2,3</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att. finanz. non immobilizate</w:t>
            </w:r>
          </w:p>
        </w:tc>
        <w:tc>
          <w:tcPr>
            <w:cnfStyle w:evenVBand="true" w:oddVBand="false" w:firstColumn="false"/>
            <w:tcW w:w="13.727455%" w:type="pct"/>
          </w:tcPr>
          <w:p>
            <w:pPr>
              <w:pStyle w:val="table-level-0"/>
              <w:ind w:leftChars="0" w:left="0" w:right="0"/>
              <w:keepNext/>
            </w:pPr>
            <w:r>
              <w:t>-0,2</w:t>
            </w:r>
          </w:p>
        </w:tc>
        <w:tc>
          <w:tcPr>
            <w:cnfStyle w:evenVBand="false" w:oddVBand="true" w:firstColumn="false"/>
            <w:tcW w:w="13.727455%" w:type="pct"/>
          </w:tcPr>
          <w:p>
            <w:pPr>
              <w:pStyle w:val="table-level-0"/>
              <w:ind w:leftChars="0" w:left="0" w:right="0"/>
              <w:keepNext/>
            </w:pPr>
            <w:r>
              <w:t>-0,05</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-1,5</w:t>
            </w:r>
          </w:p>
        </w:tc>
        <w:tc>
          <w:tcPr>
            <w:cnfStyle w:evenVBand="true" w:oddVBand="false" w:firstColumn="false"/>
            <w:tcW w:w="13.727455%" w:type="pct"/>
          </w:tcPr>
          <w:p>
            <w:pPr>
              <w:pStyle w:val="table-level-0"/>
              <w:ind w:leftChars="0" w:left="0" w:right="0"/>
              <w:keepNext/>
            </w:pPr>
            <w:r>
              <w:t>6,5</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d2b102cde39ff330544243511b5a7889">
              <w:r>
                <w:rPr>
                  <w:rStyle w:val="Hyperlink"/>
                </w:rPr>
                <w:t>Riv./svalutazioni finanziarie</w:t>
              </w:r>
            </w:hyperlink>
          </w:p>
        </w:tc>
        <w:tc>
          <w:tcPr>
            <w:cnfStyle w:evenVBand="true" w:oddVBand="false" w:firstColumn="false"/>
            <w:tcW w:w="13.727455%" w:type="pct"/>
          </w:tcPr>
          <w:p>
            <w:pPr>
              <w:pStyle w:val="table-level-1"/>
              <w:ind w:leftChars="0" w:left="0" w:right="0"/>
              <w:keepNext/>
            </w:pPr>
            <w:r>
              <w:t>1,3</w:t>
            </w:r>
          </w:p>
        </w:tc>
        <w:tc>
          <w:tcPr>
            <w:cnfStyle w:evenVBand="false" w:oddVBand="true" w:firstColumn="false"/>
            <w:tcW w:w="13.727455%" w:type="pct"/>
          </w:tcPr>
          <w:p>
            <w:pPr>
              <w:pStyle w:val="table-level-1"/>
              <w:ind w:leftChars="0" w:left="0" w:right="0"/>
              <w:keepNext/>
            </w:pPr>
            <w:r>
              <w:t>-2,1</w:t>
            </w:r>
          </w:p>
        </w:tc>
        <w:tc>
          <w:tcPr>
            <w:cnfStyle w:evenVBand="true" w:oddVBand="false" w:firstColumn="false"/>
            <w:tcW w:w="13.727455%" w:type="pct"/>
          </w:tcPr>
          <w:p>
            <w:pPr>
              <w:pStyle w:val="table-level-1"/>
              <w:ind w:leftChars="0" w:left="0" w:right="0"/>
              <w:keepNext/>
            </w:pPr>
            <w:r>
              <w:t>-1,3</w:t>
            </w:r>
          </w:p>
        </w:tc>
        <w:tc>
          <w:tcPr>
            <w:cnfStyle w:evenVBand="false" w:oddVBand="true" w:firstColumn="false"/>
            <w:tcW w:w="13.727455%" w:type="pct"/>
          </w:tcPr>
          <w:p>
            <w:pPr>
              <w:pStyle w:val="table-level-1"/>
              <w:ind w:leftChars="0" w:left="0" w:right="0"/>
              <w:keepNext/>
            </w:pPr>
            <w:r>
              <w:t>-1,2</w:t>
            </w:r>
          </w:p>
        </w:tc>
        <w:tc>
          <w:tcPr>
            <w:cnfStyle w:evenVBand="true" w:oddVBand="false" w:firstColumn="false"/>
            <w:tcW w:w="13.727455%" w:type="pct"/>
          </w:tcPr>
          <w:p>
            <w:pPr>
              <w:pStyle w:val="table-level-1"/>
              <w:ind w:leftChars="0" w:left="0" w:right="0"/>
              <w:keepNext/>
            </w:pPr>
            <w:r>
              <w:t>1,5</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5cb5ecdd803b361f7319bd4568496d4f">
              <w:r>
                <w:rPr>
                  <w:rStyle w:val="Hyperlink"/>
                </w:rPr>
                <w:t>Utili/perdite su cambi</w:t>
              </w:r>
            </w:hyperlink>
          </w:p>
        </w:tc>
        <w:tc>
          <w:tcPr>
            <w:cnfStyle w:evenVBand="true" w:oddVBand="false" w:firstColumn="false"/>
            <w:tcW w:w="13.727455%" w:type="pct"/>
          </w:tcPr>
          <w:p>
            <w:pPr>
              <w:pStyle w:val="table-level-1"/>
              <w:ind w:leftChars="0" w:left="0" w:right="0"/>
              <w:keepNext/>
            </w:pPr>
            <w:r>
              <w:t>3,9</w:t>
            </w:r>
          </w:p>
        </w:tc>
        <w:tc>
          <w:tcPr>
            <w:cnfStyle w:evenVBand="false" w:oddVBand="true" w:firstColumn="false"/>
            <w:tcW w:w="13.727455%" w:type="pct"/>
          </w:tcPr>
          <w:p>
            <w:pPr>
              <w:pStyle w:val="table-level-1"/>
              <w:ind w:leftChars="0" w:left="0" w:right="0"/>
              <w:keepNext/>
            </w:pPr>
            <w:r>
              <w:t>3,8</w:t>
            </w:r>
          </w:p>
        </w:tc>
        <w:tc>
          <w:tcPr>
            <w:cnfStyle w:evenVBand="true" w:oddVBand="false" w:firstColumn="false"/>
            <w:tcW w:w="13.727455%" w:type="pct"/>
          </w:tcPr>
          <w:p>
            <w:pPr>
              <w:pStyle w:val="table-level-1"/>
              <w:ind w:leftChars="0" w:left="0" w:right="0"/>
              <w:keepNext/>
            </w:pPr>
            <w:r>
              <w:t>2,9</w:t>
            </w:r>
          </w:p>
        </w:tc>
        <w:tc>
          <w:tcPr>
            <w:cnfStyle w:evenVBand="false" w:oddVBand="true" w:firstColumn="false"/>
            <w:tcW w:w="13.727455%" w:type="pct"/>
          </w:tcPr>
          <w:p>
            <w:pPr>
              <w:pStyle w:val="table-level-1"/>
              <w:ind w:leftChars="0" w:left="0" w:right="0"/>
              <w:keepNext/>
            </w:pPr>
            <w:r>
              <w:t>2,7</w:t>
            </w:r>
          </w:p>
        </w:tc>
        <w:tc>
          <w:tcPr>
            <w:cnfStyle w:evenVBand="true" w:oddVBand="false" w:firstColumn="false"/>
            <w:tcW w:w="13.727455%" w:type="pct"/>
          </w:tcPr>
          <w:p>
            <w:pPr>
              <w:pStyle w:val="table-level-1"/>
              <w:ind w:leftChars="0" w:left="0" w:right="0"/>
              <w:keepNext/>
            </w:pPr>
            <w:r>
              <w:t>4,3</w:t>
            </w:r>
          </w:p>
        </w:tc>
      </w:tr>
      <w:tr>
        <w:trPr>
          <w:cnfStyle w:evenHBand="true" w:oddHBand="false" w:firstRow="false"/>
          <w:cantSplit/>
        </w:trPr>
        <w:tc>
          <w:tcPr>
            <w:cnfStyle w:evenVBand="false" w:oddVBand="true" w:firstColumn="false"/>
            <w:tcW w:w="31.362725%" w:type="pct"/>
          </w:tcPr>
          <w:p>
            <w:pPr>
              <w:pStyle w:val="index-table-level-300"/>
              <w:ind w:leftChars="0" w:left="0" w:right="0"/>
              <w:keepNext/>
            </w:pPr>
            <w:hyperlink w:anchor="_4a20a1ea8a5feabb92712a0d88921694">
              <w:r>
                <w:rPr>
                  <w:rStyle w:val="Hyperlink"/>
                </w:rPr>
                <w:t>Flussi per servizio del debito</w:t>
              </w:r>
            </w:hyperlink>
          </w:p>
        </w:tc>
        <w:tc>
          <w:tcPr>
            <w:cnfStyle w:evenVBand="true" w:oddVBand="false" w:firstColumn="false"/>
            <w:tcW w:w="13.727455%" w:type="pct"/>
          </w:tcPr>
          <w:p>
            <w:pPr>
              <w:pStyle w:val="table-level-300"/>
              <w:ind w:leftChars="0" w:left="0" w:right="0"/>
              <w:keepNext/>
            </w:pPr>
            <w:r>
              <w:t>46,9</w:t>
            </w:r>
          </w:p>
        </w:tc>
        <w:tc>
          <w:tcPr>
            <w:cnfStyle w:evenVBand="false" w:oddVBand="true" w:firstColumn="false"/>
            <w:tcW w:w="13.727455%" w:type="pct"/>
          </w:tcPr>
          <w:p>
            <w:pPr>
              <w:pStyle w:val="table-level-300"/>
              <w:ind w:leftChars="0" w:left="0" w:right="0"/>
              <w:keepNext/>
            </w:pPr>
            <w:r>
              <w:t>-201,4</w:t>
            </w:r>
          </w:p>
        </w:tc>
        <w:tc>
          <w:tcPr>
            <w:cnfStyle w:evenVBand="true" w:oddVBand="false" w:firstColumn="false"/>
            <w:tcW w:w="13.727455%" w:type="pct"/>
          </w:tcPr>
          <w:p>
            <w:pPr>
              <w:pStyle w:val="table-level-300"/>
              <w:ind w:leftChars="0" w:left="0" w:right="0"/>
              <w:keepNext/>
            </w:pPr>
            <w:r>
              <w:t>819,4</w:t>
            </w:r>
          </w:p>
        </w:tc>
        <w:tc>
          <w:tcPr>
            <w:cnfStyle w:evenVBand="false" w:oddVBand="true" w:firstColumn="false"/>
            <w:tcW w:w="13.727455%" w:type="pct"/>
          </w:tcPr>
          <w:p>
            <w:pPr>
              <w:pStyle w:val="table-level-300"/>
              <w:ind w:leftChars="0" w:left="0" w:right="0"/>
              <w:keepNext/>
            </w:pPr>
            <w:r>
              <w:t>276,2</w:t>
            </w:r>
          </w:p>
        </w:tc>
        <w:tc>
          <w:tcPr>
            <w:cnfStyle w:evenVBand="true" w:oddVBand="false" w:firstColumn="false"/>
            <w:tcW w:w="13.727455%" w:type="pct"/>
          </w:tcPr>
          <w:p>
            <w:pPr>
              <w:pStyle w:val="table-level-300"/>
              <w:ind w:leftChars="0" w:left="0" w:right="0"/>
              <w:keepNext/>
            </w:pPr>
            <w:r>
              <w:t>256</w:t>
            </w:r>
          </w:p>
        </w:tc>
      </w:tr>
      <w:tr>
        <w:trPr>
          <w:cnfStyle w:evenHBand="false" w:oddHBand="true" w:firstRow="false"/>
          <w:cantSplit/>
        </w:trPr>
        <w:tc>
          <w:tcPr>
            <w:cnfStyle w:evenVBand="false" w:oddVBand="true" w:firstColumn="false"/>
            <w:tcW w:w="31.362725%" w:type="pct"/>
          </w:tcPr>
          <w:p>
            <w:pPr>
              <w:pStyle w:val="index-table-level-2"/>
              <w:ind w:leftChars="0" w:left="0" w:right="0"/>
              <w:keepNext/>
            </w:pPr>
            <w:r>
              <w:t>Flussi passività finanziarie</w:t>
            </w:r>
          </w:p>
        </w:tc>
        <w:tc>
          <w:tcPr>
            <w:cnfStyle w:evenVBand="true" w:oddVBand="false" w:firstColumn="false"/>
            <w:tcW w:w="13.727455%" w:type="pct"/>
          </w:tcPr>
          <w:p>
            <w:pPr>
              <w:pStyle w:val="table-level-2"/>
              <w:ind w:leftChars="0" w:left="0" w:right="0"/>
              <w:keepNext/>
            </w:pPr>
            <w:r>
              <w:t>1.185</w:t>
            </w:r>
          </w:p>
        </w:tc>
        <w:tc>
          <w:tcPr>
            <w:cnfStyle w:evenVBand="false" w:oddVBand="true" w:firstColumn="false"/>
            <w:tcW w:w="13.727455%" w:type="pct"/>
          </w:tcPr>
          <w:p>
            <w:pPr>
              <w:pStyle w:val="table-level-2"/>
              <w:ind w:leftChars="0" w:left="0" w:right="0"/>
              <w:keepNext/>
            </w:pPr>
            <w:r>
              <w:t>-45,7</w:t>
            </w:r>
          </w:p>
        </w:tc>
        <w:tc>
          <w:tcPr>
            <w:cnfStyle w:evenVBand="true" w:oddVBand="false" w:firstColumn="false"/>
            <w:tcW w:w="13.727455%" w:type="pct"/>
          </w:tcPr>
          <w:p>
            <w:pPr>
              <w:pStyle w:val="table-level-2"/>
              <w:ind w:leftChars="0" w:left="0" w:right="0"/>
              <w:keepNext/>
            </w:pPr>
            <w:r>
              <w:t>-300,5</w:t>
            </w:r>
          </w:p>
        </w:tc>
        <w:tc>
          <w:tcPr>
            <w:cnfStyle w:evenVBand="false" w:oddVBand="true" w:firstColumn="false"/>
            <w:tcW w:w="13.727455%" w:type="pct"/>
          </w:tcPr>
          <w:p>
            <w:pPr>
              <w:pStyle w:val="table-level-2"/>
              <w:ind w:leftChars="0" w:left="0" w:right="0"/>
              <w:keepNext/>
            </w:pPr>
            <w:r>
              <w:t>-171,3</w:t>
            </w:r>
          </w:p>
        </w:tc>
        <w:tc>
          <w:tcPr>
            <w:cnfStyle w:evenVBand="true" w:oddVBand="false" w:firstColumn="false"/>
            <w:tcW w:w="13.727455%" w:type="pct"/>
          </w:tcPr>
          <w:p>
            <w:pPr>
              <w:pStyle w:val="table-level-2"/>
              <w:ind w:leftChars="0" w:left="0" w:right="0"/>
              <w:keepNext/>
            </w:pPr>
            <w:r>
              <w:t>-121,8</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bcbd8c75aba5e984a22dafd11e50d247">
              <w:r>
                <w:rPr>
                  <w:rStyle w:val="Hyperlink"/>
                </w:rPr>
                <w:t>Oneri finanziari</w:t>
              </w:r>
            </w:hyperlink>
          </w:p>
        </w:tc>
        <w:tc>
          <w:tcPr>
            <w:cnfStyle w:evenVBand="true" w:oddVBand="false" w:firstColumn="false"/>
            <w:tcW w:w="13.727455%" w:type="pct"/>
          </w:tcPr>
          <w:p>
            <w:pPr>
              <w:pStyle w:val="table-level-1"/>
              <w:ind w:leftChars="0" w:left="0" w:right="0"/>
              <w:keepNext/>
            </w:pPr>
            <w:r>
              <w:t>-234,8</w:t>
            </w:r>
          </w:p>
        </w:tc>
        <w:tc>
          <w:tcPr>
            <w:cnfStyle w:evenVBand="false" w:oddVBand="true" w:firstColumn="false"/>
            <w:tcW w:w="13.727455%" w:type="pct"/>
          </w:tcPr>
          <w:p>
            <w:pPr>
              <w:pStyle w:val="table-level-1"/>
              <w:ind w:leftChars="0" w:left="0" w:right="0"/>
              <w:keepNext/>
            </w:pPr>
            <w:r>
              <w:t>-220,7</w:t>
            </w:r>
          </w:p>
        </w:tc>
        <w:tc>
          <w:tcPr>
            <w:cnfStyle w:evenVBand="true" w:oddVBand="false" w:firstColumn="false"/>
            <w:tcW w:w="13.727455%" w:type="pct"/>
          </w:tcPr>
          <w:p>
            <w:pPr>
              <w:pStyle w:val="table-level-1"/>
              <w:ind w:leftChars="0" w:left="0" w:right="0"/>
              <w:keepNext/>
            </w:pPr>
            <w:r>
              <w:t>-210,5</w:t>
            </w:r>
          </w:p>
        </w:tc>
        <w:tc>
          <w:tcPr>
            <w:cnfStyle w:evenVBand="false" w:oddVBand="true" w:firstColumn="false"/>
            <w:tcW w:w="13.727455%" w:type="pct"/>
          </w:tcPr>
          <w:p>
            <w:pPr>
              <w:pStyle w:val="table-level-1"/>
              <w:ind w:leftChars="0" w:left="0" w:right="0"/>
              <w:keepNext/>
            </w:pPr>
            <w:r>
              <w:t>-205,5</w:t>
            </w:r>
          </w:p>
        </w:tc>
        <w:tc>
          <w:tcPr>
            <w:cnfStyle w:evenVBand="true" w:oddVBand="false" w:firstColumn="false"/>
            <w:tcW w:w="13.727455%" w:type="pct"/>
          </w:tcPr>
          <w:p>
            <w:pPr>
              <w:pStyle w:val="table-level-1"/>
              <w:ind w:leftChars="0" w:left="0" w:right="0"/>
              <w:keepNext/>
            </w:pPr>
            <w:r>
              <w:t>-201</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403aaf992b7fb1d10220e00f8db8be13">
              <w:r>
                <w:rPr>
                  <w:rStyle w:val="Hyperlink"/>
                </w:rPr>
                <w:t>Var. finanziamenti</w:t>
              </w:r>
            </w:hyperlink>
          </w:p>
        </w:tc>
        <w:tc>
          <w:tcPr>
            <w:cnfStyle w:evenVBand="true" w:oddVBand="false" w:firstColumn="false"/>
            <w:tcW w:w="13.727455%" w:type="pct"/>
          </w:tcPr>
          <w:p>
            <w:pPr>
              <w:pStyle w:val="table-level-1"/>
              <w:ind w:leftChars="0" w:left="0" w:right="0"/>
              <w:keepNext/>
            </w:pPr>
            <w:r>
              <w:t>1.420</w:t>
            </w:r>
          </w:p>
        </w:tc>
        <w:tc>
          <w:tcPr>
            <w:cnfStyle w:evenVBand="false" w:oddVBand="true" w:firstColumn="false"/>
            <w:tcW w:w="13.727455%" w:type="pct"/>
          </w:tcPr>
          <w:p>
            <w:pPr>
              <w:pStyle w:val="table-level-1"/>
              <w:ind w:leftChars="0" w:left="0" w:right="0"/>
              <w:keepNext/>
            </w:pPr>
            <w:r>
              <w:t>175</w:t>
            </w:r>
          </w:p>
        </w:tc>
        <w:tc>
          <w:tcPr>
            <w:cnfStyle w:evenVBand="true" w:oddVBand="false" w:firstColumn="false"/>
            <w:tcW w:w="13.727455%" w:type="pct"/>
          </w:tcPr>
          <w:p>
            <w:pPr>
              <w:pStyle w:val="table-level-1"/>
              <w:ind w:leftChars="0" w:left="0" w:right="0"/>
              <w:keepNext/>
            </w:pPr>
            <w:r>
              <w:t>-90</w:t>
            </w:r>
          </w:p>
        </w:tc>
        <w:tc>
          <w:tcPr>
            <w:cnfStyle w:evenVBand="false" w:oddVBand="true" w:firstColumn="false"/>
            <w:tcW w:w="13.727455%" w:type="pct"/>
          </w:tcPr>
          <w:p>
            <w:pPr>
              <w:pStyle w:val="table-level-1"/>
              <w:ind w:leftChars="0" w:left="0" w:right="0"/>
              <w:keepNext/>
            </w:pPr>
            <w:r>
              <w:t>34,2</w:t>
            </w:r>
          </w:p>
        </w:tc>
        <w:tc>
          <w:tcPr>
            <w:cnfStyle w:evenVBand="true" w:oddVBand="false" w:firstColumn="false"/>
            <w:tcW w:w="13.727455%" w:type="pct"/>
          </w:tcPr>
          <w:p>
            <w:pPr>
              <w:pStyle w:val="table-level-1"/>
              <w:ind w:leftChars="0" w:left="0" w:right="0"/>
              <w:keepNext/>
            </w:pPr>
            <w:r>
              <w:t>79,2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obbligazioni</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-20</w:t>
            </w:r>
          </w:p>
        </w:tc>
        <w:tc>
          <w:tcPr>
            <w:cnfStyle w:evenVBand="true" w:oddVBand="false" w:firstColumn="false"/>
            <w:tcW w:w="13.727455%" w:type="pct"/>
          </w:tcPr>
          <w:p>
            <w:pPr>
              <w:pStyle w:val="table-level-0"/>
              <w:ind w:leftChars="0" w:left="0" w:right="0"/>
              <w:keepNext/>
            </w:pPr>
            <w:r>
              <w:t>-20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finanziamenti a breve</w:t>
            </w:r>
          </w:p>
        </w:tc>
        <w:tc>
          <w:tcPr>
            <w:cnfStyle w:evenVBand="true" w:oddVBand="false" w:firstColumn="false"/>
            <w:tcW w:w="13.727455%" w:type="pct"/>
          </w:tcPr>
          <w:p>
            <w:pPr>
              <w:pStyle w:val="table-level-0"/>
              <w:ind w:leftChars="0" w:left="0" w:right="0"/>
              <w:keepNext/>
            </w:pPr>
            <w:r>
              <w:t>330</w:t>
            </w:r>
          </w:p>
        </w:tc>
        <w:tc>
          <w:tcPr>
            <w:cnfStyle w:evenVBand="false" w:oddVBand="true" w:firstColumn="false"/>
            <w:tcW w:w="13.727455%" w:type="pct"/>
          </w:tcPr>
          <w:p>
            <w:pPr>
              <w:pStyle w:val="table-level-0"/>
              <w:ind w:leftChars="0" w:left="0" w:right="0"/>
              <w:keepNext/>
            </w:pPr>
            <w:r>
              <w:t>-30</w:t>
            </w:r>
          </w:p>
        </w:tc>
        <w:tc>
          <w:tcPr>
            <w:cnfStyle w:evenVBand="true" w:oddVBand="false" w:firstColumn="false"/>
            <w:tcW w:w="13.727455%" w:type="pct"/>
          </w:tcPr>
          <w:p>
            <w:pPr>
              <w:pStyle w:val="table-level-0"/>
              <w:ind w:leftChars="0" w:left="0" w:right="0"/>
              <w:keepNext/>
            </w:pPr>
            <w:r>
              <w:t>-200</w:t>
            </w:r>
          </w:p>
        </w:tc>
        <w:tc>
          <w:tcPr>
            <w:cnfStyle w:evenVBand="false" w:oddVBand="true" w:firstColumn="false"/>
            <w:tcW w:w="13.727455%" w:type="pct"/>
          </w:tcPr>
          <w:p>
            <w:pPr>
              <w:pStyle w:val="table-level-0"/>
              <w:ind w:leftChars="0" w:left="0" w:right="0"/>
              <w:keepNext/>
            </w:pPr>
            <w:r>
              <w:t>15</w:t>
            </w:r>
          </w:p>
        </w:tc>
        <w:tc>
          <w:tcPr>
            <w:cnfStyle w:evenVBand="true" w:oddVBand="false" w:firstColumn="false"/>
            <w:tcW w:w="13.727455%" w:type="pct"/>
          </w:tcPr>
          <w:p>
            <w:pPr>
              <w:pStyle w:val="table-level-0"/>
              <w:ind w:leftChars="0" w:left="0" w:right="0"/>
              <w:keepNext/>
            </w:pPr>
            <w:r>
              <w:t>60</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finanziamenti a lungo</w:t>
            </w:r>
          </w:p>
        </w:tc>
        <w:tc>
          <w:tcPr>
            <w:cnfStyle w:evenVBand="true" w:oddVBand="false" w:firstColumn="false"/>
            <w:tcW w:w="13.727455%" w:type="pct"/>
          </w:tcPr>
          <w:p>
            <w:pPr>
              <w:pStyle w:val="table-level-0"/>
              <w:ind w:leftChars="0" w:left="0" w:right="0"/>
              <w:keepNext/>
            </w:pPr>
            <w:r>
              <w:t>1.100</w:t>
            </w:r>
          </w:p>
        </w:tc>
        <w:tc>
          <w:tcPr>
            <w:cnfStyle w:evenVBand="false" w:oddVBand="true" w:firstColumn="false"/>
            <w:tcW w:w="13.727455%" w:type="pct"/>
          </w:tcPr>
          <w:p>
            <w:pPr>
              <w:pStyle w:val="table-level-0"/>
              <w:ind w:leftChars="0" w:left="0" w:right="0"/>
              <w:keepNext/>
            </w:pPr>
            <w:r>
              <w:t>200</w:t>
            </w:r>
          </w:p>
        </w:tc>
        <w:tc>
          <w:tcPr>
            <w:cnfStyle w:evenVBand="true" w:oddVBand="false" w:firstColumn="false"/>
            <w:tcW w:w="13.727455%" w:type="pct"/>
          </w:tcPr>
          <w:p>
            <w:pPr>
              <w:pStyle w:val="table-level-0"/>
              <w:ind w:leftChars="0" w:left="0" w:right="0"/>
              <w:keepNext/>
            </w:pPr>
            <w:r>
              <w:t>100</w:t>
            </w:r>
          </w:p>
        </w:tc>
        <w:tc>
          <w:tcPr>
            <w:cnfStyle w:evenVBand="false" w:oddVBand="true" w:firstColumn="false"/>
            <w:tcW w:w="13.727455%" w:type="pct"/>
          </w:tcPr>
          <w:p>
            <w:pPr>
              <w:pStyle w:val="table-level-0"/>
              <w:ind w:leftChars="0" w:left="0" w:right="0"/>
              <w:keepNext/>
            </w:pPr>
            <w:r>
              <w:t>40</w:t>
            </w:r>
          </w:p>
        </w:tc>
        <w:tc>
          <w:tcPr>
            <w:cnfStyle w:evenVBand="true" w:oddVBand="false" w:firstColumn="false"/>
            <w:tcW w:w="13.727455%" w:type="pct"/>
          </w:tcPr>
          <w:p>
            <w:pPr>
              <w:pStyle w:val="table-level-0"/>
              <w:ind w:leftChars="0" w:left="0" w:right="0"/>
              <w:keepNext/>
            </w:pPr>
            <w:r>
              <w:t>40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altri debiti finanziari</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5</w:t>
            </w:r>
          </w:p>
        </w:tc>
        <w:tc>
          <w:tcPr>
            <w:cnfStyle w:evenVBand="true" w:oddVBand="false" w:firstColumn="false"/>
            <w:tcW w:w="13.727455%" w:type="pct"/>
          </w:tcPr>
          <w:p>
            <w:pPr>
              <w:pStyle w:val="table-level-0"/>
              <w:ind w:leftChars="0" w:left="0" w:right="0"/>
              <w:keepNext/>
            </w:pPr>
            <w:r>
              <w:t>10</w:t>
            </w:r>
          </w:p>
        </w:tc>
        <w:tc>
          <w:tcPr>
            <w:cnfStyle w:evenVBand="false" w:oddVBand="true" w:firstColumn="false"/>
            <w:tcW w:w="13.727455%" w:type="pct"/>
          </w:tcPr>
          <w:p>
            <w:pPr>
              <w:pStyle w:val="table-level-0"/>
              <w:ind w:leftChars="0" w:left="0" w:right="0"/>
              <w:keepNext/>
            </w:pPr>
            <w:r>
              <w:t>-0,8</w:t>
            </w:r>
          </w:p>
        </w:tc>
        <w:tc>
          <w:tcPr>
            <w:cnfStyle w:evenVBand="true" w:oddVBand="false" w:firstColumn="false"/>
            <w:tcW w:w="13.727455%" w:type="pct"/>
          </w:tcPr>
          <w:p>
            <w:pPr>
              <w:pStyle w:val="table-level-0"/>
              <w:ind w:leftChars="0" w:left="0" w:right="0"/>
              <w:keepNext/>
            </w:pPr>
            <w:r>
              <w:t>-0,8</w:t>
            </w:r>
          </w:p>
        </w:tc>
      </w:tr>
      <w:tr>
        <w:trPr>
          <w:cnfStyle w:evenHBand="true" w:oddHBand="false" w:firstRow="false"/>
          <w:cantSplit/>
        </w:trPr>
        <w:tc>
          <w:tcPr>
            <w:cnfStyle w:evenVBand="false" w:oddVBand="true" w:firstColumn="false"/>
            <w:tcW w:w="31.362725%" w:type="pct"/>
          </w:tcPr>
          <w:p>
            <w:pPr>
              <w:pStyle w:val="index-table-level-300"/>
              <w:ind w:leftChars="0" w:left="0" w:right="0"/>
              <w:keepNext/>
            </w:pPr>
            <w:hyperlink w:anchor="_b6859fb0539189c55efa3c398a82a1d6">
              <w:r>
                <w:rPr>
                  <w:rStyle w:val="Hyperlink"/>
                </w:rPr>
                <w:t>Flussi disponibili per i soci</w:t>
              </w:r>
            </w:hyperlink>
          </w:p>
        </w:tc>
        <w:tc>
          <w:tcPr>
            <w:cnfStyle w:evenVBand="true" w:oddVBand="false" w:firstColumn="false"/>
            <w:tcW w:w="13.727455%" w:type="pct"/>
          </w:tcPr>
          <w:p>
            <w:pPr>
              <w:pStyle w:val="table-level-300"/>
              <w:ind w:leftChars="0" w:left="0" w:right="0"/>
              <w:keepNext/>
            </w:pPr>
            <w:r>
              <w:t>1.232</w:t>
            </w:r>
          </w:p>
        </w:tc>
        <w:tc>
          <w:tcPr>
            <w:cnfStyle w:evenVBand="false" w:oddVBand="true" w:firstColumn="false"/>
            <w:tcW w:w="13.727455%" w:type="pct"/>
          </w:tcPr>
          <w:p>
            <w:pPr>
              <w:pStyle w:val="table-level-300"/>
              <w:ind w:leftChars="0" w:left="0" w:right="0"/>
              <w:keepNext/>
            </w:pPr>
            <w:r>
              <w:t>-247,1</w:t>
            </w:r>
          </w:p>
        </w:tc>
        <w:tc>
          <w:tcPr>
            <w:cnfStyle w:evenVBand="true" w:oddVBand="false" w:firstColumn="false"/>
            <w:tcW w:w="13.727455%" w:type="pct"/>
          </w:tcPr>
          <w:p>
            <w:pPr>
              <w:pStyle w:val="table-level-300"/>
              <w:ind w:leftChars="0" w:left="0" w:right="0"/>
              <w:keepNext/>
            </w:pPr>
            <w:r>
              <w:t>518,9</w:t>
            </w:r>
          </w:p>
        </w:tc>
        <w:tc>
          <w:tcPr>
            <w:cnfStyle w:evenVBand="false" w:oddVBand="true" w:firstColumn="false"/>
            <w:tcW w:w="13.727455%" w:type="pct"/>
          </w:tcPr>
          <w:p>
            <w:pPr>
              <w:pStyle w:val="table-level-300"/>
              <w:ind w:leftChars="0" w:left="0" w:right="0"/>
              <w:keepNext/>
            </w:pPr>
            <w:r>
              <w:t>104,9</w:t>
            </w:r>
          </w:p>
        </w:tc>
        <w:tc>
          <w:tcPr>
            <w:cnfStyle w:evenVBand="true" w:oddVBand="false" w:firstColumn="false"/>
            <w:tcW w:w="13.727455%" w:type="pct"/>
          </w:tcPr>
          <w:p>
            <w:pPr>
              <w:pStyle w:val="table-level-300"/>
              <w:ind w:leftChars="0" w:left="0" w:right="0"/>
              <w:keepNext/>
            </w:pPr>
            <w:r>
              <w:t>134,2</w:t>
            </w:r>
          </w:p>
        </w:tc>
      </w:tr>
      <w:tr>
        <w:trPr>
          <w:cnfStyle w:evenHBand="false" w:oddHBand="true" w:firstRow="false"/>
          <w:cantSplit/>
        </w:trPr>
        <w:tc>
          <w:tcPr>
            <w:cnfStyle w:evenVBand="false" w:oddVBand="true" w:firstColumn="false"/>
            <w:tcW w:w="31.362725%" w:type="pct"/>
          </w:tcPr>
          <w:p>
            <w:pPr>
              <w:pStyle w:val="index-table-level-2"/>
              <w:ind w:leftChars="0" w:left="0" w:right="0"/>
              <w:keepNext/>
            </w:pPr>
            <w:hyperlink w:anchor="_0cb77d5ceebccf6f2c0e190cc137a29b">
              <w:r>
                <w:rPr>
                  <w:rStyle w:val="Hyperlink"/>
                </w:rPr>
                <w:t>Var. mezzi dei soci</w:t>
              </w:r>
            </w:hyperlink>
          </w:p>
        </w:tc>
        <w:tc>
          <w:tcPr>
            <w:cnfStyle w:evenVBand="true" w:oddVBand="false" w:firstColumn="false"/>
            <w:tcW w:w="13.727455%" w:type="pct"/>
          </w:tcPr>
          <w:p>
            <w:pPr>
              <w:pStyle w:val="table-level-2"/>
              <w:ind w:leftChars="0" w:left="0" w:right="0"/>
              <w:keepNext/>
            </w:pPr>
            <w:r>
              <w:t>-60,5</w:t>
            </w:r>
          </w:p>
        </w:tc>
        <w:tc>
          <w:tcPr>
            <w:cnfStyle w:evenVBand="false" w:oddVBand="true" w:firstColumn="false"/>
            <w:tcW w:w="13.727455%" w:type="pct"/>
          </w:tcPr>
          <w:p>
            <w:pPr>
              <w:pStyle w:val="table-level-2"/>
              <w:ind w:leftChars="0" w:left="0" w:right="0"/>
              <w:keepNext/>
            </w:pPr>
            <w:r>
              <w:t>35,6</w:t>
            </w:r>
          </w:p>
        </w:tc>
        <w:tc>
          <w:tcPr>
            <w:cnfStyle w:evenVBand="true" w:oddVBand="false" w:firstColumn="false"/>
            <w:tcW w:w="13.727455%" w:type="pct"/>
          </w:tcPr>
          <w:p>
            <w:pPr>
              <w:pStyle w:val="table-level-2"/>
              <w:ind w:leftChars="0" w:left="0" w:right="0"/>
              <w:keepNext/>
            </w:pPr>
            <w:r>
              <w:t>-567,3</w:t>
            </w:r>
          </w:p>
        </w:tc>
        <w:tc>
          <w:tcPr>
            <w:cnfStyle w:evenVBand="false" w:oddVBand="true" w:firstColumn="false"/>
            <w:tcW w:w="13.727455%" w:type="pct"/>
          </w:tcPr>
          <w:p>
            <w:pPr>
              <w:pStyle w:val="table-level-2"/>
              <w:ind w:leftChars="0" w:left="0" w:right="0"/>
              <w:keepNext/>
            </w:pPr>
            <w:r>
              <w:t>-294,2</w:t>
            </w:r>
          </w:p>
        </w:tc>
        <w:tc>
          <w:tcPr>
            <w:cnfStyle w:evenVBand="true" w:oddVBand="false" w:firstColumn="false"/>
            <w:tcW w:w="13.727455%" w:type="pct"/>
          </w:tcPr>
          <w:p>
            <w:pPr>
              <w:pStyle w:val="table-level-2"/>
              <w:ind w:leftChars="0" w:left="0" w:right="0"/>
              <w:keepNext/>
            </w:pPr>
            <w:r>
              <w:t>-476,9</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Var. finanziamenti soci</w:t>
            </w:r>
          </w:p>
        </w:tc>
        <w:tc>
          <w:tcPr>
            <w:cnfStyle w:evenVBand="true" w:oddVBand="false" w:firstColumn="false"/>
            <w:tcW w:w="13.727455%" w:type="pct"/>
          </w:tcPr>
          <w:p>
            <w:pPr>
              <w:pStyle w:val="table-level-1"/>
              <w:ind w:leftChars="0" w:left="0" w:right="0"/>
              <w:keepNext/>
            </w:pPr>
            <w:r>
              <w:t>-10</w:t>
            </w:r>
          </w:p>
        </w:tc>
        <w:tc>
          <w:tcPr>
            <w:cnfStyle w:evenVBand="false" w:oddVBand="true" w:firstColumn="false"/>
            <w:tcW w:w="13.727455%" w:type="pct"/>
          </w:tcPr>
          <w:p>
            <w:pPr>
              <w:pStyle w:val="table-level-1"/>
              <w:ind w:leftChars="0" w:left="0" w:right="0"/>
              <w:keepNext/>
            </w:pPr>
            <w:r>
              <w:t>0</w:t>
            </w:r>
          </w:p>
        </w:tc>
        <w:tc>
          <w:tcPr>
            <w:cnfStyle w:evenVBand="true" w:oddVBand="false" w:firstColumn="false"/>
            <w:tcW w:w="13.727455%" w:type="pct"/>
          </w:tcPr>
          <w:p>
            <w:pPr>
              <w:pStyle w:val="table-level-1"/>
              <w:ind w:leftChars="0" w:left="0" w:right="0"/>
              <w:keepNext/>
            </w:pPr>
            <w:r>
              <w:t>0</w:t>
            </w:r>
          </w:p>
        </w:tc>
        <w:tc>
          <w:tcPr>
            <w:cnfStyle w:evenVBand="false" w:oddVBand="true" w:firstColumn="false"/>
            <w:tcW w:w="13.727455%" w:type="pct"/>
          </w:tcPr>
          <w:p>
            <w:pPr>
              <w:pStyle w:val="table-level-1"/>
              <w:ind w:leftChars="0" w:left="0" w:right="0"/>
              <w:keepNext/>
            </w:pPr>
            <w:r>
              <w:t>-25</w:t>
            </w:r>
          </w:p>
        </w:tc>
        <w:tc>
          <w:tcPr>
            <w:cnfStyle w:evenVBand="true" w:oddVBand="false" w:firstColumn="false"/>
            <w:tcW w:w="13.727455%" w:type="pct"/>
          </w:tcPr>
          <w:p>
            <w:pPr>
              <w:pStyle w:val="table-level-1"/>
              <w:ind w:leftChars="0" w:left="0" w:right="0"/>
              <w:keepNext/>
            </w:pPr>
            <w:r>
              <w:t>-20</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r>
              <w:t>Var. patrimonio netto</w:t>
            </w:r>
          </w:p>
        </w:tc>
        <w:tc>
          <w:tcPr>
            <w:cnfStyle w:evenVBand="true" w:oddVBand="false" w:firstColumn="false"/>
            <w:tcW w:w="13.727455%" w:type="pct"/>
          </w:tcPr>
          <w:p>
            <w:pPr>
              <w:pStyle w:val="table-level-1"/>
              <w:ind w:leftChars="0" w:left="0" w:right="0"/>
              <w:keepNext/>
            </w:pPr>
            <w:r>
              <w:t>-50,5</w:t>
            </w:r>
          </w:p>
        </w:tc>
        <w:tc>
          <w:tcPr>
            <w:cnfStyle w:evenVBand="false" w:oddVBand="true" w:firstColumn="false"/>
            <w:tcW w:w="13.727455%" w:type="pct"/>
          </w:tcPr>
          <w:p>
            <w:pPr>
              <w:pStyle w:val="table-level-1"/>
              <w:ind w:leftChars="0" w:left="0" w:right="0"/>
              <w:keepNext/>
            </w:pPr>
            <w:r>
              <w:t>35,6</w:t>
            </w:r>
          </w:p>
        </w:tc>
        <w:tc>
          <w:tcPr>
            <w:cnfStyle w:evenVBand="true" w:oddVBand="false" w:firstColumn="false"/>
            <w:tcW w:w="13.727455%" w:type="pct"/>
          </w:tcPr>
          <w:p>
            <w:pPr>
              <w:pStyle w:val="table-level-1"/>
              <w:ind w:leftChars="0" w:left="0" w:right="0"/>
              <w:keepNext/>
            </w:pPr>
            <w:r>
              <w:t>-567,3</w:t>
            </w:r>
          </w:p>
        </w:tc>
        <w:tc>
          <w:tcPr>
            <w:cnfStyle w:evenVBand="false" w:oddVBand="true" w:firstColumn="false"/>
            <w:tcW w:w="13.727455%" w:type="pct"/>
          </w:tcPr>
          <w:p>
            <w:pPr>
              <w:pStyle w:val="table-level-1"/>
              <w:ind w:leftChars="0" w:left="0" w:right="0"/>
              <w:keepNext/>
            </w:pPr>
            <w:r>
              <w:t>-269,2</w:t>
            </w:r>
          </w:p>
        </w:tc>
        <w:tc>
          <w:tcPr>
            <w:cnfStyle w:evenVBand="true" w:oddVBand="false" w:firstColumn="false"/>
            <w:tcW w:w="13.727455%" w:type="pct"/>
          </w:tcPr>
          <w:p>
            <w:pPr>
              <w:pStyle w:val="table-level-1"/>
              <w:ind w:leftChars="0" w:left="0" w:right="0"/>
              <w:keepNext/>
            </w:pPr>
            <w:r>
              <w:t>-456,9</w:t>
            </w:r>
          </w:p>
        </w:tc>
      </w:tr>
      <w:tr>
        <w:trPr>
          <w:cnfStyle w:evenHBand="true" w:oddHBand="false" w:firstRow="false"/>
          <w:cantSplit/>
        </w:trPr>
        <w:tc>
          <w:tcPr>
            <w:cnfStyle w:evenVBand="false" w:oddVBand="true" w:firstColumn="false"/>
            <w:tcW w:w="31.362725%" w:type="pct"/>
          </w:tcPr>
          <w:p>
            <w:pPr>
              <w:pStyle w:val="index-table-level-300"/>
              <w:ind w:leftChars="0" w:left="0" w:right="0"/>
              <w:keepNext/>
            </w:pPr>
            <w:hyperlink w:anchor="_22342503b2bc99b0a1e3acaada50dfe1">
              <w:r>
                <w:rPr>
                  <w:rStyle w:val="Hyperlink"/>
                </w:rPr>
                <w:t>Variazione disponibilità liquide</w:t>
              </w:r>
            </w:hyperlink>
          </w:p>
        </w:tc>
        <w:tc>
          <w:tcPr>
            <w:cnfStyle w:evenVBand="true" w:oddVBand="false" w:firstColumn="false"/>
            <w:tcW w:w="13.727455%" w:type="pct"/>
          </w:tcPr>
          <w:p>
            <w:pPr>
              <w:pStyle w:val="table-level-300"/>
              <w:ind w:leftChars="0" w:left="0" w:right="0"/>
              <w:keepNext/>
            </w:pPr>
            <w:r>
              <w:t>1.172</w:t>
            </w:r>
          </w:p>
        </w:tc>
        <w:tc>
          <w:tcPr>
            <w:cnfStyle w:evenVBand="false" w:oddVBand="true" w:firstColumn="false"/>
            <w:tcW w:w="13.727455%" w:type="pct"/>
          </w:tcPr>
          <w:p>
            <w:pPr>
              <w:pStyle w:val="table-level-300"/>
              <w:ind w:leftChars="0" w:left="0" w:right="0"/>
              <w:keepNext/>
            </w:pPr>
            <w:r>
              <w:t>-211,5</w:t>
            </w:r>
          </w:p>
        </w:tc>
        <w:tc>
          <w:tcPr>
            <w:cnfStyle w:evenVBand="true" w:oddVBand="false" w:firstColumn="false"/>
            <w:tcW w:w="13.727455%" w:type="pct"/>
          </w:tcPr>
          <w:p>
            <w:pPr>
              <w:pStyle w:val="table-level-300"/>
              <w:ind w:leftChars="0" w:left="0" w:right="0"/>
              <w:keepNext/>
            </w:pPr>
            <w:r>
              <w:t>-48,4</w:t>
            </w:r>
          </w:p>
        </w:tc>
        <w:tc>
          <w:tcPr>
            <w:cnfStyle w:evenVBand="false" w:oddVBand="true" w:firstColumn="false"/>
            <w:tcW w:w="13.727455%" w:type="pct"/>
          </w:tcPr>
          <w:p>
            <w:pPr>
              <w:pStyle w:val="table-level-300"/>
              <w:ind w:leftChars="0" w:left="0" w:right="0"/>
              <w:keepNext/>
            </w:pPr>
            <w:r>
              <w:t>-189,3</w:t>
            </w:r>
          </w:p>
        </w:tc>
        <w:tc>
          <w:tcPr>
            <w:cnfStyle w:evenVBand="true" w:oddVBand="false" w:firstColumn="false"/>
            <w:tcW w:w="13.727455%" w:type="pct"/>
          </w:tcPr>
          <w:p>
            <w:pPr>
              <w:pStyle w:val="table-level-300"/>
              <w:ind w:leftChars="0" w:left="0" w:right="0"/>
              <w:keepNext/>
            </w:pPr>
            <w:r>
              <w:t>-342,7</w:t>
            </w:r>
          </w:p>
        </w:tc>
      </w:tr>
    </w:tbl>
    <w:p>
      <w:pPr>
        <w:pStyle w:val="TableBottomMargin"/>
      </w:pPr>
    </w:p>
    <w:br w:type="page"/>
    <w:bookmarkStart w:id="597" w:name="_8a306df4a6d8a94ab39627d3fba5975d"/>
    <w:bookmarkStart w:id="598" w:name="_76909470d4edd94bb46625707f494450"/>
    <w:p>
      <w:pPr>
        <w:pStyle w:val="Heading2"/>
        <w:keepNext/>
      </w:pPr>
      <w:r>
        <w:t>Flussi di cassa derivanti dall’attività operativa</w:t>
      </w:r>
    </w:p>
    <w:p>
      <w:pPr>
        <w:pStyle w:val="BodyText"/>
        <w:ind w:leftChars="0" w:left="0" w:right="0"/>
      </w:pPr>
      <w:r>
        <w:t xml:space="preserve">La presente sottosezione del </w:t>
      </w:r>
      <w:hyperlink w:anchor="_be9dd59504b6581d5cad29d60c714237">
        <w:r>
          <w:rPr>
            <w:rStyle w:val="Hyperlink"/>
          </w:rPr>
          <w:t>Rendiconto finanziario</w:t>
        </w:r>
      </w:hyperlink>
      <w:r>
        <w:t xml:space="preserve"> è dedicata ai flussi di cassa operativi. Questi rappresentano flussi monetari generati o assorbiti dalla gestione operativa e, in tal senso, misurano la capacità di un’impresa di autofinanziarsi. Si ottengono rettificando il reddito operativo con l’effetto esercitato dalla variazione di attività e passività anch’esse operative.</w:t>
      </w:r>
    </w:p>
    <w:p>
      <w:pPr>
        <w:pStyle w:val="BodyText"/>
        <w:ind w:leftChars="0" w:left="0" w:right="0"/>
      </w:pPr>
      <w:r>
        <w:t xml:space="preserve">Il prospetto seguente illustra il dettaglio analitico delle determinanti della voce </w:t>
      </w:r>
      <w:r>
        <w:rPr>
          <w:i/>
          <w:iCs/>
        </w:rPr>
        <w:t>Flussi di cassa derivanti dall’attività operativa</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r>
              <w:t>Reddito operativo lordo</w:t>
            </w:r>
          </w:p>
        </w:tc>
        <w:tc>
          <w:tcPr>
            <w:cnfStyle w:evenVBand="true" w:oddVBand="false" w:firstColumn="false"/>
            <w:tcW w:w="13.727455%" w:type="pct"/>
          </w:tcPr>
          <w:p>
            <w:pPr>
              <w:pStyle w:val="table-level-300"/>
              <w:ind w:leftChars="0" w:left="0" w:right="0"/>
              <w:keepNext/>
            </w:pPr>
            <w:r>
              <w:t>1.573</w:t>
            </w:r>
          </w:p>
        </w:tc>
        <w:tc>
          <w:tcPr>
            <w:cnfStyle w:evenVBand="false" w:oddVBand="true" w:firstColumn="false"/>
            <w:tcW w:w="13.727455%" w:type="pct"/>
          </w:tcPr>
          <w:p>
            <w:pPr>
              <w:pStyle w:val="table-level-300"/>
              <w:ind w:leftChars="0" w:left="0" w:right="0"/>
              <w:keepNext/>
            </w:pPr>
            <w:r>
              <w:t>1.746</w:t>
            </w:r>
          </w:p>
        </w:tc>
        <w:tc>
          <w:tcPr>
            <w:cnfStyle w:evenVBand="true" w:oddVBand="false" w:firstColumn="false"/>
            <w:tcW w:w="13.727455%" w:type="pct"/>
          </w:tcPr>
          <w:p>
            <w:pPr>
              <w:pStyle w:val="table-level-300"/>
              <w:ind w:leftChars="0" w:left="0" w:right="0"/>
              <w:keepNext/>
            </w:pPr>
            <w:r>
              <w:t>1.772</w:t>
            </w:r>
          </w:p>
        </w:tc>
        <w:tc>
          <w:tcPr>
            <w:cnfStyle w:evenVBand="false" w:oddVBand="true" w:firstColumn="false"/>
            <w:tcW w:w="13.727455%" w:type="pct"/>
          </w:tcPr>
          <w:p>
            <w:pPr>
              <w:pStyle w:val="table-level-300"/>
              <w:ind w:leftChars="0" w:left="0" w:right="0"/>
              <w:keepNext/>
            </w:pPr>
            <w:r>
              <w:t>1.455</w:t>
            </w:r>
          </w:p>
        </w:tc>
        <w:tc>
          <w:tcPr>
            <w:cnfStyle w:evenVBand="true" w:oddVBand="false" w:firstColumn="false"/>
            <w:tcW w:w="13.727455%" w:type="pct"/>
          </w:tcPr>
          <w:p>
            <w:pPr>
              <w:pStyle w:val="table-level-300"/>
              <w:ind w:leftChars="0" w:left="0" w:right="0"/>
              <w:keepNext/>
            </w:pPr>
            <w:r>
              <w:t>888,2</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d9a9cbcd4ed16de5cdde4f46040f7306">
              <w:r>
                <w:rPr>
                  <w:rStyle w:val="Hyperlink"/>
                </w:rPr>
                <w:t>Variazione del circolante</w:t>
              </w:r>
            </w:hyperlink>
          </w:p>
        </w:tc>
        <w:tc>
          <w:tcPr>
            <w:cnfStyle w:evenVBand="true" w:oddVBand="false" w:firstColumn="false"/>
            <w:tcW w:w="13.727455%" w:type="pct"/>
          </w:tcPr>
          <w:p>
            <w:pPr>
              <w:pStyle w:val="table-level-1"/>
              <w:ind w:leftChars="0" w:left="0" w:right="0"/>
              <w:keepNext/>
            </w:pPr>
            <w:r>
              <w:t>-242,6</w:t>
            </w:r>
          </w:p>
        </w:tc>
        <w:tc>
          <w:tcPr>
            <w:cnfStyle w:evenVBand="false" w:oddVBand="true" w:firstColumn="false"/>
            <w:tcW w:w="13.727455%" w:type="pct"/>
          </w:tcPr>
          <w:p>
            <w:pPr>
              <w:pStyle w:val="table-level-1"/>
              <w:ind w:leftChars="0" w:left="0" w:right="0"/>
              <w:keepNext/>
            </w:pPr>
            <w:r>
              <w:t>-338,7</w:t>
            </w:r>
          </w:p>
        </w:tc>
        <w:tc>
          <w:tcPr>
            <w:cnfStyle w:evenVBand="true" w:oddVBand="false" w:firstColumn="false"/>
            <w:tcW w:w="13.727455%" w:type="pct"/>
          </w:tcPr>
          <w:p>
            <w:pPr>
              <w:pStyle w:val="table-level-1"/>
              <w:ind w:leftChars="0" w:left="0" w:right="0"/>
              <w:keepNext/>
            </w:pPr>
            <w:r>
              <w:t>-544,8</w:t>
            </w:r>
          </w:p>
        </w:tc>
        <w:tc>
          <w:tcPr>
            <w:cnfStyle w:evenVBand="false" w:oddVBand="true" w:firstColumn="false"/>
            <w:tcW w:w="13.727455%" w:type="pct"/>
          </w:tcPr>
          <w:p>
            <w:pPr>
              <w:pStyle w:val="table-level-1"/>
              <w:ind w:leftChars="0" w:left="0" w:right="0"/>
              <w:keepNext/>
            </w:pPr>
            <w:r>
              <w:t>-287,2</w:t>
            </w:r>
          </w:p>
        </w:tc>
        <w:tc>
          <w:tcPr>
            <w:cnfStyle w:evenVBand="true" w:oddVBand="false" w:firstColumn="false"/>
            <w:tcW w:w="13.727455%" w:type="pct"/>
          </w:tcPr>
          <w:p>
            <w:pPr>
              <w:pStyle w:val="table-level-1"/>
              <w:ind w:leftChars="0" w:left="0" w:right="0"/>
              <w:keepNext/>
            </w:pPr>
            <w:r>
              <w:t>106,6</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Var. rimanenze</w:t>
            </w:r>
          </w:p>
        </w:tc>
        <w:tc>
          <w:tcPr>
            <w:cnfStyle w:evenVBand="true" w:oddVBand="false" w:firstColumn="false"/>
            <w:tcW w:w="13.727455%" w:type="pct"/>
          </w:tcPr>
          <w:p>
            <w:pPr>
              <w:pStyle w:val="table-level-0"/>
              <w:ind w:leftChars="0" w:left="0" w:right="0"/>
              <w:keepNext/>
            </w:pPr>
            <w:r>
              <w:t>-37,5</w:t>
            </w:r>
          </w:p>
        </w:tc>
        <w:tc>
          <w:tcPr>
            <w:cnfStyle w:evenVBand="false" w:oddVBand="true" w:firstColumn="false"/>
            <w:tcW w:w="13.727455%" w:type="pct"/>
          </w:tcPr>
          <w:p>
            <w:pPr>
              <w:pStyle w:val="table-level-0"/>
              <w:ind w:leftChars="0" w:left="0" w:right="0"/>
              <w:keepNext/>
            </w:pPr>
            <w:r>
              <w:t>-36,9</w:t>
            </w:r>
          </w:p>
        </w:tc>
        <w:tc>
          <w:tcPr>
            <w:cnfStyle w:evenVBand="true" w:oddVBand="false" w:firstColumn="false"/>
            <w:tcW w:w="13.727455%" w:type="pct"/>
          </w:tcPr>
          <w:p>
            <w:pPr>
              <w:pStyle w:val="table-level-0"/>
              <w:ind w:leftChars="0" w:left="0" w:right="0"/>
              <w:keepNext/>
            </w:pPr>
            <w:r>
              <w:t>-31,6</w:t>
            </w:r>
          </w:p>
        </w:tc>
        <w:tc>
          <w:tcPr>
            <w:cnfStyle w:evenVBand="false" w:oddVBand="true" w:firstColumn="false"/>
            <w:tcW w:w="13.727455%" w:type="pct"/>
          </w:tcPr>
          <w:p>
            <w:pPr>
              <w:pStyle w:val="table-level-0"/>
              <w:ind w:leftChars="0" w:left="0" w:right="0"/>
              <w:keepNext/>
            </w:pPr>
            <w:r>
              <w:t>-8</w:t>
            </w:r>
          </w:p>
        </w:tc>
        <w:tc>
          <w:tcPr>
            <w:cnfStyle w:evenVBand="true" w:oddVBand="false" w:firstColumn="false"/>
            <w:tcW w:w="13.727455%" w:type="pct"/>
          </w:tcPr>
          <w:p>
            <w:pPr>
              <w:pStyle w:val="table-level-0"/>
              <w:ind w:leftChars="0" w:left="0" w:right="0"/>
              <w:keepNext/>
            </w:pPr>
            <w:r>
              <w:t>-7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869f7a3554d4b364ad496890fc9bb18d">
              <w:r>
                <w:rPr>
                  <w:rStyle w:val="Hyperlink"/>
                </w:rPr>
                <w:t>Var. crediti/debiti commerciali</w:t>
              </w:r>
            </w:hyperlink>
          </w:p>
        </w:tc>
        <w:tc>
          <w:tcPr>
            <w:cnfStyle w:evenVBand="true" w:oddVBand="false" w:firstColumn="false"/>
            <w:tcW w:w="13.727455%" w:type="pct"/>
          </w:tcPr>
          <w:p>
            <w:pPr>
              <w:pStyle w:val="table-level-0"/>
              <w:ind w:leftChars="0" w:left="0" w:right="0"/>
              <w:keepNext/>
            </w:pPr>
            <w:r>
              <w:t>46,9</w:t>
            </w:r>
          </w:p>
        </w:tc>
        <w:tc>
          <w:tcPr>
            <w:cnfStyle w:evenVBand="false" w:oddVBand="true" w:firstColumn="false"/>
            <w:tcW w:w="13.727455%" w:type="pct"/>
          </w:tcPr>
          <w:p>
            <w:pPr>
              <w:pStyle w:val="table-level-0"/>
              <w:ind w:leftChars="0" w:left="0" w:right="0"/>
              <w:keepNext/>
            </w:pPr>
            <w:r>
              <w:t>-20,4</w:t>
            </w:r>
          </w:p>
        </w:tc>
        <w:tc>
          <w:tcPr>
            <w:cnfStyle w:evenVBand="true" w:oddVBand="false" w:firstColumn="false"/>
            <w:tcW w:w="13.727455%" w:type="pct"/>
          </w:tcPr>
          <w:p>
            <w:pPr>
              <w:pStyle w:val="table-level-0"/>
              <w:ind w:leftChars="0" w:left="0" w:right="0"/>
              <w:keepNext/>
            </w:pPr>
            <w:r>
              <w:t>-172,2</w:t>
            </w:r>
          </w:p>
        </w:tc>
        <w:tc>
          <w:tcPr>
            <w:cnfStyle w:evenVBand="false" w:oddVBand="true" w:firstColumn="false"/>
            <w:tcW w:w="13.727455%" w:type="pct"/>
          </w:tcPr>
          <w:p>
            <w:pPr>
              <w:pStyle w:val="table-level-0"/>
              <w:ind w:leftChars="0" w:left="0" w:right="0"/>
              <w:keepNext/>
            </w:pPr>
            <w:r>
              <w:t>36</w:t>
            </w:r>
          </w:p>
        </w:tc>
        <w:tc>
          <w:tcPr>
            <w:cnfStyle w:evenVBand="true" w:oddVBand="false" w:firstColumn="false"/>
            <w:tcW w:w="13.727455%" w:type="pct"/>
          </w:tcPr>
          <w:p>
            <w:pPr>
              <w:pStyle w:val="table-level-0"/>
              <w:ind w:leftChars="0" w:left="0" w:right="0"/>
              <w:keepNext/>
            </w:pPr>
            <w:r>
              <w:t>269</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e80d103b8558aa0dd5c9956a9d292da0">
              <w:r>
                <w:rPr>
                  <w:rStyle w:val="Hyperlink"/>
                </w:rPr>
                <w:t>Var. crediti/debiti infragruppo</w:t>
              </w:r>
            </w:hyperlink>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6,2</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3,5</w:t>
            </w:r>
          </w:p>
        </w:tc>
        <w:tc>
          <w:tcPr>
            <w:cnfStyle w:evenVBand="true" w:oddVBand="false" w:firstColumn="false"/>
            <w:tcW w:w="13.727455%" w:type="pct"/>
          </w:tcPr>
          <w:p>
            <w:pPr>
              <w:pStyle w:val="table-level-0"/>
              <w:ind w:leftChars="0" w:left="0" w:right="0"/>
              <w:keepNext/>
            </w:pPr>
            <w:r>
              <w:t>5,6</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0d097a1682ce29672b23e4eadb525dde">
              <w:r>
                <w:rPr>
                  <w:rStyle w:val="Hyperlink"/>
                </w:rPr>
                <w:t>Var. crediti/debiti tributari</w:t>
              </w:r>
            </w:hyperlink>
          </w:p>
        </w:tc>
        <w:tc>
          <w:tcPr>
            <w:cnfStyle w:evenVBand="true" w:oddVBand="false" w:firstColumn="false"/>
            <w:tcW w:w="13.727455%" w:type="pct"/>
          </w:tcPr>
          <w:p>
            <w:pPr>
              <w:pStyle w:val="table-level-0"/>
              <w:ind w:leftChars="0" w:left="0" w:right="0"/>
              <w:keepNext/>
            </w:pPr>
            <w:r>
              <w:t>-269,3</w:t>
            </w:r>
          </w:p>
        </w:tc>
        <w:tc>
          <w:tcPr>
            <w:cnfStyle w:evenVBand="false" w:oddVBand="true" w:firstColumn="false"/>
            <w:tcW w:w="13.727455%" w:type="pct"/>
          </w:tcPr>
          <w:p>
            <w:pPr>
              <w:pStyle w:val="table-level-0"/>
              <w:ind w:leftChars="0" w:left="0" w:right="0"/>
              <w:keepNext/>
            </w:pPr>
            <w:r>
              <w:t>-323,6</w:t>
            </w:r>
          </w:p>
        </w:tc>
        <w:tc>
          <w:tcPr>
            <w:cnfStyle w:evenVBand="true" w:oddVBand="false" w:firstColumn="false"/>
            <w:tcW w:w="13.727455%" w:type="pct"/>
          </w:tcPr>
          <w:p>
            <w:pPr>
              <w:pStyle w:val="table-level-0"/>
              <w:ind w:leftChars="0" w:left="0" w:right="0"/>
              <w:keepNext/>
            </w:pPr>
            <w:r>
              <w:t>-353,2</w:t>
            </w:r>
          </w:p>
        </w:tc>
        <w:tc>
          <w:tcPr>
            <w:cnfStyle w:evenVBand="false" w:oddVBand="true" w:firstColumn="false"/>
            <w:tcW w:w="13.727455%" w:type="pct"/>
          </w:tcPr>
          <w:p>
            <w:pPr>
              <w:pStyle w:val="table-level-0"/>
              <w:ind w:leftChars="0" w:left="0" w:right="0"/>
              <w:keepNext/>
            </w:pPr>
            <w:r>
              <w:t>-292,2</w:t>
            </w:r>
          </w:p>
        </w:tc>
        <w:tc>
          <w:tcPr>
            <w:cnfStyle w:evenVBand="true" w:oddVBand="false" w:firstColumn="false"/>
            <w:tcW w:w="13.727455%" w:type="pct"/>
          </w:tcPr>
          <w:p>
            <w:pPr>
              <w:pStyle w:val="table-level-0"/>
              <w:ind w:leftChars="0" w:left="0" w:right="0"/>
              <w:keepNext/>
            </w:pPr>
            <w:r>
              <w:t>-144,7</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99b9d2e70f37a487cbd1b7a33b831c62">
              <w:r>
                <w:rPr>
                  <w:rStyle w:val="Hyperlink"/>
                </w:rPr>
                <w:t>Altre variazioni</w:t>
              </w:r>
            </w:hyperlink>
          </w:p>
        </w:tc>
        <w:tc>
          <w:tcPr>
            <w:cnfStyle w:evenVBand="true" w:oddVBand="false" w:firstColumn="false"/>
            <w:tcW w:w="13.727455%" w:type="pct"/>
          </w:tcPr>
          <w:p>
            <w:pPr>
              <w:pStyle w:val="table-level-0"/>
              <w:ind w:leftChars="0" w:left="0" w:right="0"/>
              <w:keepNext/>
            </w:pPr>
            <w:r>
              <w:t>13,8</w:t>
            </w:r>
          </w:p>
        </w:tc>
        <w:tc>
          <w:tcPr>
            <w:cnfStyle w:evenVBand="false" w:oddVBand="true" w:firstColumn="false"/>
            <w:tcW w:w="13.727455%" w:type="pct"/>
          </w:tcPr>
          <w:p>
            <w:pPr>
              <w:pStyle w:val="table-level-0"/>
              <w:ind w:leftChars="0" w:left="0" w:right="0"/>
              <w:keepNext/>
            </w:pPr>
            <w:r>
              <w:t>36</w:t>
            </w:r>
          </w:p>
        </w:tc>
        <w:tc>
          <w:tcPr>
            <w:cnfStyle w:evenVBand="true" w:oddVBand="false" w:firstColumn="false"/>
            <w:tcW w:w="13.727455%" w:type="pct"/>
          </w:tcPr>
          <w:p>
            <w:pPr>
              <w:pStyle w:val="table-level-0"/>
              <w:ind w:leftChars="0" w:left="0" w:right="0"/>
              <w:keepNext/>
            </w:pPr>
            <w:r>
              <w:t>10,7</w:t>
            </w:r>
          </w:p>
        </w:tc>
        <w:tc>
          <w:tcPr>
            <w:cnfStyle w:evenVBand="false" w:oddVBand="true" w:firstColumn="false"/>
            <w:tcW w:w="13.727455%" w:type="pct"/>
          </w:tcPr>
          <w:p>
            <w:pPr>
              <w:pStyle w:val="table-level-0"/>
              <w:ind w:leftChars="0" w:left="0" w:right="0"/>
              <w:keepNext/>
            </w:pPr>
            <w:r>
              <w:t>-26,5</w:t>
            </w:r>
          </w:p>
        </w:tc>
        <w:tc>
          <w:tcPr>
            <w:cnfStyle w:evenVBand="true" w:oddVBand="false" w:firstColumn="false"/>
            <w:tcW w:w="13.727455%" w:type="pct"/>
          </w:tcPr>
          <w:p>
            <w:pPr>
              <w:pStyle w:val="table-level-0"/>
              <w:ind w:leftChars="0" w:left="0" w:right="0"/>
              <w:keepNext/>
            </w:pPr>
            <w:r>
              <w:t>-16,3</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80ebf7b5f2d7069d36d08250b84ae400">
              <w:r>
                <w:rPr>
                  <w:rStyle w:val="Hyperlink"/>
                </w:rPr>
                <w:t>Variazione di fondi</w:t>
              </w:r>
            </w:hyperlink>
          </w:p>
        </w:tc>
        <w:tc>
          <w:tcPr>
            <w:cnfStyle w:evenVBand="true" w:oddVBand="false" w:firstColumn="false"/>
            <w:tcW w:w="13.727455%" w:type="pct"/>
          </w:tcPr>
          <w:p>
            <w:pPr>
              <w:pStyle w:val="table-level-1"/>
              <w:ind w:leftChars="0" w:left="0" w:right="0"/>
              <w:keepNext/>
            </w:pPr>
            <w:r>
              <w:t>115</w:t>
            </w:r>
          </w:p>
        </w:tc>
        <w:tc>
          <w:tcPr>
            <w:cnfStyle w:evenVBand="false" w:oddVBand="true" w:firstColumn="false"/>
            <w:tcW w:w="13.727455%" w:type="pct"/>
          </w:tcPr>
          <w:p>
            <w:pPr>
              <w:pStyle w:val="table-level-1"/>
              <w:ind w:leftChars="0" w:left="0" w:right="0"/>
              <w:keepNext/>
            </w:pPr>
            <w:r>
              <w:t>95</w:t>
            </w:r>
          </w:p>
        </w:tc>
        <w:tc>
          <w:tcPr>
            <w:cnfStyle w:evenVBand="true" w:oddVBand="false" w:firstColumn="false"/>
            <w:tcW w:w="13.727455%" w:type="pct"/>
          </w:tcPr>
          <w:p>
            <w:pPr>
              <w:pStyle w:val="table-level-1"/>
              <w:ind w:leftChars="0" w:left="0" w:right="0"/>
              <w:keepNext/>
            </w:pPr>
            <w:r>
              <w:t>100</w:t>
            </w:r>
          </w:p>
        </w:tc>
        <w:tc>
          <w:tcPr>
            <w:cnfStyle w:evenVBand="false" w:oddVBand="true" w:firstColumn="false"/>
            <w:tcW w:w="13.727455%" w:type="pct"/>
          </w:tcPr>
          <w:p>
            <w:pPr>
              <w:pStyle w:val="table-level-1"/>
              <w:ind w:leftChars="0" w:left="0" w:right="0"/>
              <w:keepNext/>
            </w:pPr>
            <w:r>
              <w:t>25</w:t>
            </w:r>
          </w:p>
        </w:tc>
        <w:tc>
          <w:tcPr>
            <w:cnfStyle w:evenVBand="true" w:oddVBand="false" w:firstColumn="false"/>
            <w:tcW w:w="13.727455%" w:type="pct"/>
          </w:tcPr>
          <w:p>
            <w:pPr>
              <w:pStyle w:val="table-level-1"/>
              <w:ind w:leftChars="0" w:left="0" w:right="0"/>
              <w:keepNext/>
            </w:pPr>
            <w:r>
              <w:t>-7</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92b03bd388110428e77863720e388821">
              <w:r>
                <w:rPr>
                  <w:rStyle w:val="Hyperlink"/>
                </w:rPr>
                <w:t>Flussi investimenti operativi</w:t>
              </w:r>
            </w:hyperlink>
          </w:p>
        </w:tc>
        <w:tc>
          <w:tcPr>
            <w:cnfStyle w:evenVBand="true" w:oddVBand="false" w:firstColumn="false"/>
            <w:tcW w:w="13.727455%" w:type="pct"/>
          </w:tcPr>
          <w:p>
            <w:pPr>
              <w:pStyle w:val="table-level-1"/>
              <w:ind w:leftChars="0" w:left="0" w:right="0"/>
              <w:keepNext/>
            </w:pPr>
            <w:r>
              <w:t>-1.403</w:t>
            </w:r>
          </w:p>
        </w:tc>
        <w:tc>
          <w:tcPr>
            <w:cnfStyle w:evenVBand="false" w:oddVBand="true" w:firstColumn="false"/>
            <w:tcW w:w="13.727455%" w:type="pct"/>
          </w:tcPr>
          <w:p>
            <w:pPr>
              <w:pStyle w:val="table-level-1"/>
              <w:ind w:leftChars="0" w:left="0" w:right="0"/>
              <w:keepNext/>
            </w:pPr>
            <w:r>
              <w:t>-1.720</w:t>
            </w:r>
          </w:p>
        </w:tc>
        <w:tc>
          <w:tcPr>
            <w:cnfStyle w:evenVBand="true" w:oddVBand="false" w:firstColumn="false"/>
            <w:tcW w:w="13.727455%" w:type="pct"/>
          </w:tcPr>
          <w:p>
            <w:pPr>
              <w:pStyle w:val="table-level-1"/>
              <w:ind w:leftChars="0" w:left="0" w:right="0"/>
              <w:keepNext/>
            </w:pPr>
            <w:r>
              <w:t>-523</w:t>
            </w:r>
          </w:p>
        </w:tc>
        <w:tc>
          <w:tcPr>
            <w:cnfStyle w:evenVBand="false" w:oddVBand="true" w:firstColumn="false"/>
            <w:tcW w:w="13.727455%" w:type="pct"/>
          </w:tcPr>
          <w:p>
            <w:pPr>
              <w:pStyle w:val="table-level-1"/>
              <w:ind w:leftChars="0" w:left="0" w:right="0"/>
              <w:keepNext/>
            </w:pPr>
            <w:r>
              <w:t>-925</w:t>
            </w:r>
          </w:p>
        </w:tc>
        <w:tc>
          <w:tcPr>
            <w:cnfStyle w:evenVBand="true" w:oddVBand="false" w:firstColumn="false"/>
            <w:tcW w:w="13.727455%" w:type="pct"/>
          </w:tcPr>
          <w:p>
            <w:pPr>
              <w:pStyle w:val="table-level-1"/>
              <w:ind w:leftChars="0" w:left="0" w:right="0"/>
              <w:keepNext/>
            </w:pPr>
            <w:r>
              <w:t>-757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immob. immateriali</w:t>
            </w:r>
          </w:p>
        </w:tc>
        <w:tc>
          <w:tcPr>
            <w:cnfStyle w:evenVBand="true" w:oddVBand="false" w:firstColumn="false"/>
            <w:tcW w:w="13.727455%" w:type="pct"/>
          </w:tcPr>
          <w:p>
            <w:pPr>
              <w:pStyle w:val="table-level-0"/>
              <w:ind w:leftChars="0" w:left="0" w:right="0"/>
              <w:keepNext/>
            </w:pPr>
            <w:r>
              <w:t>-73</w:t>
            </w:r>
          </w:p>
        </w:tc>
        <w:tc>
          <w:tcPr>
            <w:cnfStyle w:evenVBand="false" w:oddVBand="true" w:firstColumn="false"/>
            <w:tcW w:w="13.727455%" w:type="pct"/>
          </w:tcPr>
          <w:p>
            <w:pPr>
              <w:pStyle w:val="table-level-0"/>
              <w:ind w:leftChars="0" w:left="0" w:right="0"/>
              <w:keepNext/>
            </w:pPr>
            <w:r>
              <w:t>-38,5</w:t>
            </w:r>
          </w:p>
        </w:tc>
        <w:tc>
          <w:tcPr>
            <w:cnfStyle w:evenVBand="true" w:oddVBand="false" w:firstColumn="false"/>
            <w:tcW w:w="13.727455%" w:type="pct"/>
          </w:tcPr>
          <w:p>
            <w:pPr>
              <w:pStyle w:val="table-level-0"/>
              <w:ind w:leftChars="0" w:left="0" w:right="0"/>
              <w:keepNext/>
            </w:pPr>
            <w:r>
              <w:t>-78</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-10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immob. materiali</w:t>
            </w:r>
          </w:p>
        </w:tc>
        <w:tc>
          <w:tcPr>
            <w:cnfStyle w:evenVBand="true" w:oddVBand="false" w:firstColumn="false"/>
            <w:tcW w:w="13.727455%" w:type="pct"/>
          </w:tcPr>
          <w:p>
            <w:pPr>
              <w:pStyle w:val="table-level-0"/>
              <w:ind w:leftChars="0" w:left="0" w:right="0"/>
              <w:keepNext/>
            </w:pPr>
            <w:r>
              <w:t>-1.328</w:t>
            </w:r>
          </w:p>
        </w:tc>
        <w:tc>
          <w:tcPr>
            <w:cnfStyle w:evenVBand="false" w:oddVBand="true" w:firstColumn="false"/>
            <w:tcW w:w="13.727455%" w:type="pct"/>
          </w:tcPr>
          <w:p>
            <w:pPr>
              <w:pStyle w:val="table-level-0"/>
              <w:ind w:leftChars="0" w:left="0" w:right="0"/>
              <w:keepNext/>
            </w:pPr>
            <w:r>
              <w:t>-1.681</w:t>
            </w:r>
          </w:p>
        </w:tc>
        <w:tc>
          <w:tcPr>
            <w:cnfStyle w:evenVBand="true" w:oddVBand="false" w:firstColumn="false"/>
            <w:tcW w:w="13.727455%" w:type="pct"/>
          </w:tcPr>
          <w:p>
            <w:pPr>
              <w:pStyle w:val="table-level-0"/>
              <w:ind w:leftChars="0" w:left="0" w:right="0"/>
              <w:keepNext/>
            </w:pPr>
            <w:r>
              <w:t>-443,5</w:t>
            </w:r>
          </w:p>
        </w:tc>
        <w:tc>
          <w:tcPr>
            <w:cnfStyle w:evenVBand="false" w:oddVBand="true" w:firstColumn="false"/>
            <w:tcW w:w="13.727455%" w:type="pct"/>
          </w:tcPr>
          <w:p>
            <w:pPr>
              <w:pStyle w:val="table-level-0"/>
              <w:ind w:leftChars="0" w:left="0" w:right="0"/>
              <w:keepNext/>
            </w:pPr>
            <w:r>
              <w:t>-900</w:t>
            </w:r>
          </w:p>
        </w:tc>
        <w:tc>
          <w:tcPr>
            <w:cnfStyle w:evenVBand="true" w:oddVBand="false" w:firstColumn="false"/>
            <w:tcW w:w="13.727455%" w:type="pct"/>
          </w:tcPr>
          <w:p>
            <w:pPr>
              <w:pStyle w:val="table-level-0"/>
              <w:ind w:leftChars="0" w:left="0" w:right="0"/>
              <w:keepNext/>
            </w:pPr>
            <w:r>
              <w:t>-745</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Svalutazioni di immobilizzazioni</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-2</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76909470d4edd94bb46625707f494450">
              <w:r>
                <w:rPr>
                  <w:rStyle w:val="Hyperlink"/>
                </w:rPr>
                <w:t>Flussi di cassa operativi</w:t>
              </w:r>
            </w:hyperlink>
          </w:p>
        </w:tc>
        <w:tc>
          <w:tcPr>
            <w:cnfStyle w:evenVBand="true" w:oddVBand="false" w:firstColumn="false"/>
            <w:tcW w:w="13.727455%" w:type="pct"/>
          </w:tcPr>
          <w:p>
            <w:pPr>
              <w:pStyle w:val="table-level-300"/>
              <w:ind w:leftChars="0" w:left="0" w:right="0"/>
              <w:keepNext/>
            </w:pPr>
            <w:r>
              <w:t>41,9</w:t>
            </w:r>
          </w:p>
        </w:tc>
        <w:tc>
          <w:tcPr>
            <w:cnfStyle w:evenVBand="false" w:oddVBand="true" w:firstColumn="false"/>
            <w:tcW w:w="13.727455%" w:type="pct"/>
          </w:tcPr>
          <w:p>
            <w:pPr>
              <w:pStyle w:val="table-level-300"/>
              <w:ind w:leftChars="0" w:left="0" w:right="0"/>
              <w:keepNext/>
            </w:pPr>
            <w:r>
              <w:t>-217,3</w:t>
            </w:r>
          </w:p>
        </w:tc>
        <w:tc>
          <w:tcPr>
            <w:cnfStyle w:evenVBand="true" w:oddVBand="false" w:firstColumn="false"/>
            <w:tcW w:w="13.727455%" w:type="pct"/>
          </w:tcPr>
          <w:p>
            <w:pPr>
              <w:pStyle w:val="table-level-300"/>
              <w:ind w:leftChars="0" w:left="0" w:right="0"/>
              <w:keepNext/>
            </w:pPr>
            <w:r>
              <w:t>804,3</w:t>
            </w:r>
          </w:p>
        </w:tc>
        <w:tc>
          <w:tcPr>
            <w:cnfStyle w:evenVBand="false" w:oddVBand="true" w:firstColumn="false"/>
            <w:tcW w:w="13.727455%" w:type="pct"/>
          </w:tcPr>
          <w:p>
            <w:pPr>
              <w:pStyle w:val="table-level-300"/>
              <w:ind w:leftChars="0" w:left="0" w:right="0"/>
              <w:keepNext/>
            </w:pPr>
            <w:r>
              <w:t>268,1</w:t>
            </w:r>
          </w:p>
        </w:tc>
        <w:tc>
          <w:tcPr>
            <w:cnfStyle w:evenVBand="true" w:oddVBand="false" w:firstColumn="false"/>
            <w:tcW w:w="13.727455%" w:type="pct"/>
          </w:tcPr>
          <w:p>
            <w:pPr>
              <w:pStyle w:val="table-level-300"/>
              <w:ind w:leftChars="0" w:left="0" w:right="0"/>
              <w:keepNext/>
            </w:pPr>
            <w:r>
              <w:t>230,8</w:t>
            </w:r>
          </w:p>
        </w:tc>
      </w:tr>
    </w:tbl>
    <w:p>
      <w:pPr>
        <w:pStyle w:val="TableBottomMargin"/>
      </w:pPr>
    </w:p>
    <w:p>
      <w:pPr>
        <w:pStyle w:val="BodyText"/>
        <w:ind w:leftChars="0" w:left="0" w:right="0"/>
      </w:pPr>
      <w:r>
        <w:t xml:space="preserve">Dal prospetto si evince che al 31 dicembre 2022 il valore della voce </w:t>
      </w:r>
      <w:r>
        <w:rPr>
          <w:i/>
          <w:iCs/>
        </w:rPr>
        <w:t>Flussi di cassa derivanti dall’attività operativa</w:t>
      </w:r>
      <w:r>
        <w:t xml:space="preserve"> è pari a € 41.908 ed è in crescita del 119% rispetto al 31 dicembre 2021.</w:t>
      </w:r>
    </w:p>
    <w:p>
      <w:pPr>
        <w:pStyle w:val="BodyText"/>
        <w:ind w:leftChars="0" w:left="0" w:right="0"/>
      </w:pPr>
      <w:r>
        <w:t xml:space="preserve">Il grafico seguente mostra l’analisi dell’andamento della voce </w:t>
      </w:r>
      <w:r>
        <w:rPr>
          <w:i/>
          <w:iCs/>
        </w:rPr>
        <w:t>Flussi di cassa derivanti dall’attività operativa</w:t>
      </w:r>
      <w:r>
        <w:t xml:space="preserve"> dal 31 dicembre 2017 al 31 dicembre 2022. Nel periodo evidenziato, il valore medio è stato pari a € 225.550.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2" name="24c42c775ed25497330aabfe023da785.png" descr="_static/temp/24c42c775ed25497330aabfe023da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4c42c775ed25497330aabfe023da785.png" descr="_static/temp/24c42c775ed25497330aabfe023da785.png"/>
                    <pic:cNvPicPr>
                      <a:picLocks noChangeAspect="1" noChangeArrowheads="1"/>
                    </pic:cNvPicPr>
                  </pic:nvPicPr>
                  <pic:blipFill>
                    <a:blip xmlns:r="http://schemas.openxmlformats.org/officeDocument/2006/relationships" r:embed="rId12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Flussi di cassa derivanti dall’attività operativa</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3" name="56de91114420c92f003f2338c2d8eea0.png" descr="_static/temp/56de91114420c92f003f2338c2d8ee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56de91114420c92f003f2338c2d8eea0.png" descr="_static/temp/56de91114420c92f003f2338c2d8eea0.png"/>
                    <pic:cNvPicPr>
                      <a:picLocks noChangeAspect="1" noChangeArrowheads="1"/>
                    </pic:cNvPicPr>
                  </pic:nvPicPr>
                  <pic:blipFill>
                    <a:blip xmlns:r="http://schemas.openxmlformats.org/officeDocument/2006/relationships" r:embed="rId126"/>
                    <a:srcRect/>
                    <a:stretch>
                      <a:fillRect/>
                    </a:stretch>
                  </pic:blipFill>
                  <pic:spPr bwMode="auto">
                    <a:xfrm>
                      <a:off x="0" y="0"/>
                      <a:ext cx="6476365" cy="3266766"/>
                    </a:xfrm>
                    <a:prstGeom prst="rect">
                      <a:avLst/>
                    </a:prstGeom>
                    <a:noFill/>
                  </pic:spPr>
                </pic:pic>
              </a:graphicData>
            </a:graphic>
          </wp:inline>
        </w:drawing>
      </w:r>
    </w:p>
    <w:bookmarkStart w:id="599" w:name="_85f7d8861ce56e4ba394f03d4501e307"/>
    <w:bookmarkStart w:id="600" w:name="_d9a9cbcd4ed16de5cdde4f46040f7306"/>
    <w:p>
      <w:pPr>
        <w:pStyle w:val="Heading3"/>
        <w:keepNext/>
      </w:pPr>
      <w:r>
        <w:t>Variazione del capitale circolante netto</w:t>
      </w:r>
    </w:p>
    <w:p>
      <w:pPr>
        <w:pStyle w:val="BodyText"/>
        <w:ind w:leftChars="0" w:left="0" w:right="0"/>
      </w:pPr>
      <w:r>
        <w:t xml:space="preserve">La presente sottosezione dei </w:t>
      </w:r>
      <w:hyperlink w:anchor="_76909470d4edd94bb46625707f494450">
        <w:r>
          <w:rPr>
            <w:rStyle w:val="Hyperlink"/>
          </w:rPr>
          <w:t>Flussi di cassa operativi</w:t>
        </w:r>
      </w:hyperlink>
      <w:r>
        <w:t xml:space="preserve"> è dedicata alla variazione di capitale circolante netto. Questa rappresenta l’impatto che hanno, sui flussi monetari, l’aumento e la diminuzione di attività e passività correnti. Un aumento del capitale circolante netto comporta una riduzione di liquidità ↑ (</w:t>
      </w:r>
      <w:r>
        <w:rPr>
          <w:b/>
          <w:bCs/>
        </w:rPr>
        <w:t>‒</w:t>
      </w:r>
      <w:r>
        <w:t>). Una sua diminuzione testimonia, invece, un incremento di liquidità ↓ (</w:t>
      </w:r>
      <w:r>
        <w:rPr>
          <w:b/>
          <w:bCs/>
        </w:rPr>
        <w:t>+</w:t>
      </w:r>
      <w:r>
        <w:t>).</w:t>
      </w:r>
    </w:p>
    <w:p>
      <w:pPr>
        <w:pStyle w:val="BodyText"/>
        <w:ind w:leftChars="0" w:left="0" w:right="0"/>
      </w:pPr>
      <w:r>
        <w:t xml:space="preserve">Il prospetto seguente illustra il dettaglio analitico della voce </w:t>
      </w:r>
      <w:r>
        <w:rPr>
          <w:i/>
          <w:iCs/>
        </w:rPr>
        <w:t>Variazione del capitale circolante netto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d9a9cbcd4ed16de5cdde4f46040f7306">
              <w:r>
                <w:rPr>
                  <w:rStyle w:val="Hyperlink"/>
                </w:rPr>
                <w:t>Variazione del circolante</w:t>
              </w:r>
            </w:hyperlink>
          </w:p>
        </w:tc>
        <w:tc>
          <w:tcPr>
            <w:cnfStyle w:evenVBand="true" w:oddVBand="false" w:firstColumn="false"/>
            <w:tcW w:w="13.727455%" w:type="pct"/>
          </w:tcPr>
          <w:p>
            <w:pPr>
              <w:pStyle w:val="table-level-1"/>
              <w:ind w:leftChars="0" w:left="0" w:right="0"/>
              <w:keepNext/>
            </w:pPr>
            <w:r>
              <w:t>-242,6</w:t>
            </w:r>
          </w:p>
        </w:tc>
        <w:tc>
          <w:tcPr>
            <w:cnfStyle w:evenVBand="false" w:oddVBand="true" w:firstColumn="false"/>
            <w:tcW w:w="13.727455%" w:type="pct"/>
          </w:tcPr>
          <w:p>
            <w:pPr>
              <w:pStyle w:val="table-level-1"/>
              <w:ind w:leftChars="0" w:left="0" w:right="0"/>
              <w:keepNext/>
            </w:pPr>
            <w:r>
              <w:t>-338,7</w:t>
            </w:r>
          </w:p>
        </w:tc>
        <w:tc>
          <w:tcPr>
            <w:cnfStyle w:evenVBand="true" w:oddVBand="false" w:firstColumn="false"/>
            <w:tcW w:w="13.727455%" w:type="pct"/>
          </w:tcPr>
          <w:p>
            <w:pPr>
              <w:pStyle w:val="table-level-1"/>
              <w:ind w:leftChars="0" w:left="0" w:right="0"/>
              <w:keepNext/>
            </w:pPr>
            <w:r>
              <w:t>-544,8</w:t>
            </w:r>
          </w:p>
        </w:tc>
        <w:tc>
          <w:tcPr>
            <w:cnfStyle w:evenVBand="false" w:oddVBand="true" w:firstColumn="false"/>
            <w:tcW w:w="13.727455%" w:type="pct"/>
          </w:tcPr>
          <w:p>
            <w:pPr>
              <w:pStyle w:val="table-level-1"/>
              <w:ind w:leftChars="0" w:left="0" w:right="0"/>
              <w:keepNext/>
            </w:pPr>
            <w:r>
              <w:t>-287,2</w:t>
            </w:r>
          </w:p>
        </w:tc>
        <w:tc>
          <w:tcPr>
            <w:cnfStyle w:evenVBand="true" w:oddVBand="false" w:firstColumn="false"/>
            <w:tcW w:w="13.727455%" w:type="pct"/>
          </w:tcPr>
          <w:p>
            <w:pPr>
              <w:pStyle w:val="table-level-1"/>
              <w:ind w:leftChars="0" w:left="0" w:right="0"/>
              <w:keepNext/>
            </w:pPr>
            <w:r>
              <w:t>106,6</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Var. rimanenze</w:t>
            </w:r>
          </w:p>
        </w:tc>
        <w:tc>
          <w:tcPr>
            <w:cnfStyle w:evenVBand="true" w:oddVBand="false" w:firstColumn="false"/>
            <w:tcW w:w="13.727455%" w:type="pct"/>
          </w:tcPr>
          <w:p>
            <w:pPr>
              <w:pStyle w:val="table-level-0"/>
              <w:ind w:leftChars="0" w:left="0" w:right="0"/>
              <w:keepNext/>
            </w:pPr>
            <w:r>
              <w:t>-37,5</w:t>
            </w:r>
          </w:p>
        </w:tc>
        <w:tc>
          <w:tcPr>
            <w:cnfStyle w:evenVBand="false" w:oddVBand="true" w:firstColumn="false"/>
            <w:tcW w:w="13.727455%" w:type="pct"/>
          </w:tcPr>
          <w:p>
            <w:pPr>
              <w:pStyle w:val="table-level-0"/>
              <w:ind w:leftChars="0" w:left="0" w:right="0"/>
              <w:keepNext/>
            </w:pPr>
            <w:r>
              <w:t>-36,9</w:t>
            </w:r>
          </w:p>
        </w:tc>
        <w:tc>
          <w:tcPr>
            <w:cnfStyle w:evenVBand="true" w:oddVBand="false" w:firstColumn="false"/>
            <w:tcW w:w="13.727455%" w:type="pct"/>
          </w:tcPr>
          <w:p>
            <w:pPr>
              <w:pStyle w:val="table-level-0"/>
              <w:ind w:leftChars="0" w:left="0" w:right="0"/>
              <w:keepNext/>
            </w:pPr>
            <w:r>
              <w:t>-31,6</w:t>
            </w:r>
          </w:p>
        </w:tc>
        <w:tc>
          <w:tcPr>
            <w:cnfStyle w:evenVBand="false" w:oddVBand="true" w:firstColumn="false"/>
            <w:tcW w:w="13.727455%" w:type="pct"/>
          </w:tcPr>
          <w:p>
            <w:pPr>
              <w:pStyle w:val="table-level-0"/>
              <w:ind w:leftChars="0" w:left="0" w:right="0"/>
              <w:keepNext/>
            </w:pPr>
            <w:r>
              <w:t>-8</w:t>
            </w:r>
          </w:p>
        </w:tc>
        <w:tc>
          <w:tcPr>
            <w:cnfStyle w:evenVBand="true" w:oddVBand="false" w:firstColumn="false"/>
            <w:tcW w:w="13.727455%" w:type="pct"/>
          </w:tcPr>
          <w:p>
            <w:pPr>
              <w:pStyle w:val="table-level-0"/>
              <w:ind w:leftChars="0" w:left="0" w:right="0"/>
              <w:keepNext/>
            </w:pPr>
            <w:r>
              <w:t>-7</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869f7a3554d4b364ad496890fc9bb18d">
              <w:r>
                <w:rPr>
                  <w:rStyle w:val="Hyperlink"/>
                </w:rPr>
                <w:t>Var. crediti/debiti commerciali</w:t>
              </w:r>
            </w:hyperlink>
          </w:p>
        </w:tc>
        <w:tc>
          <w:tcPr>
            <w:cnfStyle w:evenVBand="true" w:oddVBand="false" w:firstColumn="false"/>
            <w:tcW w:w="13.727455%" w:type="pct"/>
          </w:tcPr>
          <w:p>
            <w:pPr>
              <w:pStyle w:val="table-level-0"/>
              <w:ind w:leftChars="0" w:left="0" w:right="0"/>
              <w:keepNext/>
            </w:pPr>
            <w:r>
              <w:t>46,9</w:t>
            </w:r>
          </w:p>
        </w:tc>
        <w:tc>
          <w:tcPr>
            <w:cnfStyle w:evenVBand="false" w:oddVBand="true" w:firstColumn="false"/>
            <w:tcW w:w="13.727455%" w:type="pct"/>
          </w:tcPr>
          <w:p>
            <w:pPr>
              <w:pStyle w:val="table-level-0"/>
              <w:ind w:leftChars="0" w:left="0" w:right="0"/>
              <w:keepNext/>
            </w:pPr>
            <w:r>
              <w:t>-20,4</w:t>
            </w:r>
          </w:p>
        </w:tc>
        <w:tc>
          <w:tcPr>
            <w:cnfStyle w:evenVBand="true" w:oddVBand="false" w:firstColumn="false"/>
            <w:tcW w:w="13.727455%" w:type="pct"/>
          </w:tcPr>
          <w:p>
            <w:pPr>
              <w:pStyle w:val="table-level-0"/>
              <w:ind w:leftChars="0" w:left="0" w:right="0"/>
              <w:keepNext/>
            </w:pPr>
            <w:r>
              <w:t>-172,2</w:t>
            </w:r>
          </w:p>
        </w:tc>
        <w:tc>
          <w:tcPr>
            <w:cnfStyle w:evenVBand="false" w:oddVBand="true" w:firstColumn="false"/>
            <w:tcW w:w="13.727455%" w:type="pct"/>
          </w:tcPr>
          <w:p>
            <w:pPr>
              <w:pStyle w:val="table-level-0"/>
              <w:ind w:leftChars="0" w:left="0" w:right="0"/>
              <w:keepNext/>
            </w:pPr>
            <w:r>
              <w:t>36</w:t>
            </w:r>
          </w:p>
        </w:tc>
        <w:tc>
          <w:tcPr>
            <w:cnfStyle w:evenVBand="true" w:oddVBand="false" w:firstColumn="false"/>
            <w:tcW w:w="13.727455%" w:type="pct"/>
          </w:tcPr>
          <w:p>
            <w:pPr>
              <w:pStyle w:val="table-level-0"/>
              <w:ind w:leftChars="0" w:left="0" w:right="0"/>
              <w:keepNext/>
            </w:pPr>
            <w:r>
              <w:t>269</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e80d103b8558aa0dd5c9956a9d292da0">
              <w:r>
                <w:rPr>
                  <w:rStyle w:val="Hyperlink"/>
                </w:rPr>
                <w:t>Var. crediti/debiti infragruppo</w:t>
              </w:r>
            </w:hyperlink>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6,2</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3,5</w:t>
            </w:r>
          </w:p>
        </w:tc>
        <w:tc>
          <w:tcPr>
            <w:cnfStyle w:evenVBand="true" w:oddVBand="false" w:firstColumn="false"/>
            <w:tcW w:w="13.727455%" w:type="pct"/>
          </w:tcPr>
          <w:p>
            <w:pPr>
              <w:pStyle w:val="table-level-0"/>
              <w:ind w:leftChars="0" w:left="0" w:right="0"/>
              <w:keepNext/>
            </w:pPr>
            <w:r>
              <w:t>5,6</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0d097a1682ce29672b23e4eadb525dde">
              <w:r>
                <w:rPr>
                  <w:rStyle w:val="Hyperlink"/>
                </w:rPr>
                <w:t>Var. crediti/debiti tributari</w:t>
              </w:r>
            </w:hyperlink>
          </w:p>
        </w:tc>
        <w:tc>
          <w:tcPr>
            <w:cnfStyle w:evenVBand="true" w:oddVBand="false" w:firstColumn="false"/>
            <w:tcW w:w="13.727455%" w:type="pct"/>
          </w:tcPr>
          <w:p>
            <w:pPr>
              <w:pStyle w:val="table-level-0"/>
              <w:ind w:leftChars="0" w:left="0" w:right="0"/>
              <w:keepNext/>
            </w:pPr>
            <w:r>
              <w:t>-269,3</w:t>
            </w:r>
          </w:p>
        </w:tc>
        <w:tc>
          <w:tcPr>
            <w:cnfStyle w:evenVBand="false" w:oddVBand="true" w:firstColumn="false"/>
            <w:tcW w:w="13.727455%" w:type="pct"/>
          </w:tcPr>
          <w:p>
            <w:pPr>
              <w:pStyle w:val="table-level-0"/>
              <w:ind w:leftChars="0" w:left="0" w:right="0"/>
              <w:keepNext/>
            </w:pPr>
            <w:r>
              <w:t>-323,6</w:t>
            </w:r>
          </w:p>
        </w:tc>
        <w:tc>
          <w:tcPr>
            <w:cnfStyle w:evenVBand="true" w:oddVBand="false" w:firstColumn="false"/>
            <w:tcW w:w="13.727455%" w:type="pct"/>
          </w:tcPr>
          <w:p>
            <w:pPr>
              <w:pStyle w:val="table-level-0"/>
              <w:ind w:leftChars="0" w:left="0" w:right="0"/>
              <w:keepNext/>
            </w:pPr>
            <w:r>
              <w:t>-353,2</w:t>
            </w:r>
          </w:p>
        </w:tc>
        <w:tc>
          <w:tcPr>
            <w:cnfStyle w:evenVBand="false" w:oddVBand="true" w:firstColumn="false"/>
            <w:tcW w:w="13.727455%" w:type="pct"/>
          </w:tcPr>
          <w:p>
            <w:pPr>
              <w:pStyle w:val="table-level-0"/>
              <w:ind w:leftChars="0" w:left="0" w:right="0"/>
              <w:keepNext/>
            </w:pPr>
            <w:r>
              <w:t>-292,2</w:t>
            </w:r>
          </w:p>
        </w:tc>
        <w:tc>
          <w:tcPr>
            <w:cnfStyle w:evenVBand="true" w:oddVBand="false" w:firstColumn="false"/>
            <w:tcW w:w="13.727455%" w:type="pct"/>
          </w:tcPr>
          <w:p>
            <w:pPr>
              <w:pStyle w:val="table-level-0"/>
              <w:ind w:leftChars="0" w:left="0" w:right="0"/>
              <w:keepNext/>
            </w:pPr>
            <w:r>
              <w:t>-144,7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99b9d2e70f37a487cbd1b7a33b831c62">
              <w:r>
                <w:rPr>
                  <w:rStyle w:val="Hyperlink"/>
                </w:rPr>
                <w:t>Altre variazioni</w:t>
              </w:r>
            </w:hyperlink>
          </w:p>
        </w:tc>
        <w:tc>
          <w:tcPr>
            <w:cnfStyle w:evenVBand="true" w:oddVBand="false" w:firstColumn="false"/>
            <w:tcW w:w="13.727455%" w:type="pct"/>
          </w:tcPr>
          <w:p>
            <w:pPr>
              <w:pStyle w:val="table-level-0"/>
              <w:ind w:leftChars="0" w:left="0" w:right="0"/>
              <w:keepNext/>
            </w:pPr>
            <w:r>
              <w:t>13,8</w:t>
            </w:r>
          </w:p>
        </w:tc>
        <w:tc>
          <w:tcPr>
            <w:cnfStyle w:evenVBand="false" w:oddVBand="true" w:firstColumn="false"/>
            <w:tcW w:w="13.727455%" w:type="pct"/>
          </w:tcPr>
          <w:p>
            <w:pPr>
              <w:pStyle w:val="table-level-0"/>
              <w:ind w:leftChars="0" w:left="0" w:right="0"/>
              <w:keepNext/>
            </w:pPr>
            <w:r>
              <w:t>36</w:t>
            </w:r>
          </w:p>
        </w:tc>
        <w:tc>
          <w:tcPr>
            <w:cnfStyle w:evenVBand="true" w:oddVBand="false" w:firstColumn="false"/>
            <w:tcW w:w="13.727455%" w:type="pct"/>
          </w:tcPr>
          <w:p>
            <w:pPr>
              <w:pStyle w:val="table-level-0"/>
              <w:ind w:leftChars="0" w:left="0" w:right="0"/>
              <w:keepNext/>
            </w:pPr>
            <w:r>
              <w:t>10,7</w:t>
            </w:r>
          </w:p>
        </w:tc>
        <w:tc>
          <w:tcPr>
            <w:cnfStyle w:evenVBand="false" w:oddVBand="true" w:firstColumn="false"/>
            <w:tcW w:w="13.727455%" w:type="pct"/>
          </w:tcPr>
          <w:p>
            <w:pPr>
              <w:pStyle w:val="table-level-0"/>
              <w:ind w:leftChars="0" w:left="0" w:right="0"/>
              <w:keepNext/>
            </w:pPr>
            <w:r>
              <w:t>-26,5</w:t>
            </w:r>
          </w:p>
        </w:tc>
        <w:tc>
          <w:tcPr>
            <w:cnfStyle w:evenVBand="true" w:oddVBand="false" w:firstColumn="false"/>
            <w:tcW w:w="13.727455%" w:type="pct"/>
          </w:tcPr>
          <w:p>
            <w:pPr>
              <w:pStyle w:val="table-level-0"/>
              <w:ind w:leftChars="0" w:left="0" w:right="0"/>
              <w:keepNext/>
            </w:pPr>
            <w:r>
              <w:t>-16,3</w:t>
            </w:r>
          </w:p>
        </w:tc>
      </w:tr>
    </w:tbl>
    <w:p>
      <w:pPr>
        <w:pStyle w:val="TableBottomMargin"/>
      </w:pPr>
    </w:p>
    <w:p>
      <w:pPr>
        <w:pStyle w:val="BodyText"/>
        <w:ind w:leftChars="0" w:left="0" w:right="0"/>
      </w:pPr>
      <w:r>
        <w:t xml:space="preserve">Dal prospetto si evince che al 31 dicembre 2022 la voce </w:t>
      </w:r>
      <w:r>
        <w:rPr>
          <w:i/>
          <w:iCs/>
        </w:rPr>
        <w:t>Variazione del capitale circolante netto</w:t>
      </w:r>
      <w:r>
        <w:t xml:space="preserve"> ha assorbito liquidità per € -242.592.</w:t>
      </w:r>
    </w:p>
    <w:p>
      <w:pPr>
        <w:pStyle w:val="BodyText"/>
        <w:ind w:leftChars="0" w:left="0" w:right="0"/>
      </w:pPr>
      <w:r>
        <w:t xml:space="preserve">Il grafico seguente mostra l’analisi dell’andamento delle componenti della voce </w:t>
      </w:r>
      <w:r>
        <w:rPr>
          <w:i/>
          <w:iCs/>
        </w:rPr>
        <w:t>Variazione del capitale circolante netto</w:t>
      </w:r>
      <w:r>
        <w:t xml:space="preserve"> dal 31 dicembre 2017 al 31 dicembre 2022. Nel periodo evidenziato, il valore medio è stato pari a € -261.350.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4" name="09260eb8b38bc3d31dcefba8110bb431.png" descr="_static/temp/09260eb8b38bc3d31dcefba8110bb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9260eb8b38bc3d31dcefba8110bb431.png" descr="_static/temp/09260eb8b38bc3d31dcefba8110bb431.png"/>
                    <pic:cNvPicPr>
                      <a:picLocks noChangeAspect="1" noChangeArrowheads="1"/>
                    </pic:cNvPicPr>
                  </pic:nvPicPr>
                  <pic:blipFill>
                    <a:blip xmlns:r="http://schemas.openxmlformats.org/officeDocument/2006/relationships" r:embed="rId127"/>
                    <a:srcRect/>
                    <a:stretch>
                      <a:fillRect/>
                    </a:stretch>
                  </pic:blipFill>
                  <pic:spPr bwMode="auto">
                    <a:xfrm>
                      <a:off x="0" y="0"/>
                      <a:ext cx="6476365" cy="3266766"/>
                    </a:xfrm>
                    <a:prstGeom prst="rect">
                      <a:avLst/>
                    </a:prstGeom>
                    <a:noFill/>
                  </pic:spPr>
                </pic:pic>
              </a:graphicData>
            </a:graphic>
          </wp:inline>
        </w:drawing>
      </w:r>
    </w:p>
    <w:bookmarkStart w:id="601" w:name="_d74c2ae434e6e0245c4f789bd2f29110"/>
    <w:bookmarkStart w:id="602" w:name="_869f7a3554d4b364ad496890fc9bb18d"/>
    <w:p>
      <w:pPr>
        <w:pStyle w:val="Heading4"/>
        <w:keepNext/>
      </w:pPr>
      <w:r>
        <w:t>Variazione dei crediti e debiti commerciali</w:t>
      </w:r>
    </w:p>
    <w:p>
      <w:pPr>
        <w:pStyle w:val="BodyText"/>
        <w:ind w:leftChars="0" w:left="0" w:right="0"/>
      </w:pPr>
      <w:r>
        <w:t xml:space="preserve">La presente sottosezione della </w:t>
      </w:r>
      <w:hyperlink w:anchor="_d9a9cbcd4ed16de5cdde4f46040f7306">
        <w:r>
          <w:rPr>
            <w:rStyle w:val="Hyperlink"/>
          </w:rPr>
          <w:t>Variazione di capitale circolante netto</w:t>
        </w:r>
      </w:hyperlink>
      <w:r>
        <w:t xml:space="preserve"> è dedicata alle variazioni di crediti e debiti commerciali. Queste rappresentano l’impatto che hanno, sui flussi monetari, l’aumento o la diminuzione di attività e passività di natura commerciale. Un aumento dei crediti ↑ e una diminuzione dei debiti ↓ comportano una riduzione di liquidità operativa (</w:t>
      </w:r>
      <w:r>
        <w:rPr>
          <w:b/>
          <w:bCs/>
        </w:rPr>
        <w:t>‒</w:t>
      </w:r>
      <w:r>
        <w:t>). Viceversa, una diminuzione dei crediti ↓ e un aumento dei debiti ↑ comportano un incremento di liquidità operativa (</w:t>
      </w:r>
      <w:r>
        <w:rPr>
          <w:b/>
          <w:bCs/>
        </w:rPr>
        <w:t>+</w:t>
      </w:r>
      <w:r>
        <w:t>).</w:t>
      </w:r>
    </w:p>
    <w:p>
      <w:pPr>
        <w:pStyle w:val="BodyText"/>
        <w:ind w:leftChars="0" w:left="0" w:right="0"/>
      </w:pPr>
      <w:r>
        <w:t xml:space="preserve">Il prospetto seguente illustra il dettaglio analitico della voce </w:t>
      </w:r>
      <w:r>
        <w:rPr>
          <w:i/>
          <w:iCs/>
        </w:rPr>
        <w:t>Variazione dei crediti e debiti commerciali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869f7a3554d4b364ad496890fc9bb18d">
              <w:r>
                <w:rPr>
                  <w:rStyle w:val="Hyperlink"/>
                </w:rPr>
                <w:t>Var. crediti/debiti commerciali</w:t>
              </w:r>
            </w:hyperlink>
          </w:p>
        </w:tc>
        <w:tc>
          <w:tcPr>
            <w:cnfStyle w:evenVBand="true" w:oddVBand="false" w:firstColumn="false"/>
            <w:tcW w:w="13.727455%" w:type="pct"/>
          </w:tcPr>
          <w:p>
            <w:pPr>
              <w:pStyle w:val="table-level-1"/>
              <w:ind w:leftChars="0" w:left="0" w:right="0"/>
              <w:keepNext/>
            </w:pPr>
            <w:r>
              <w:t>46,9</w:t>
            </w:r>
          </w:p>
        </w:tc>
        <w:tc>
          <w:tcPr>
            <w:cnfStyle w:evenVBand="false" w:oddVBand="true" w:firstColumn="false"/>
            <w:tcW w:w="13.727455%" w:type="pct"/>
          </w:tcPr>
          <w:p>
            <w:pPr>
              <w:pStyle w:val="table-level-1"/>
              <w:ind w:leftChars="0" w:left="0" w:right="0"/>
              <w:keepNext/>
            </w:pPr>
            <w:r>
              <w:t>-20,4</w:t>
            </w:r>
          </w:p>
        </w:tc>
        <w:tc>
          <w:tcPr>
            <w:cnfStyle w:evenVBand="true" w:oddVBand="false" w:firstColumn="false"/>
            <w:tcW w:w="13.727455%" w:type="pct"/>
          </w:tcPr>
          <w:p>
            <w:pPr>
              <w:pStyle w:val="table-level-1"/>
              <w:ind w:leftChars="0" w:left="0" w:right="0"/>
              <w:keepNext/>
            </w:pPr>
            <w:r>
              <w:t>-172,2</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269</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commerciali</w:t>
            </w:r>
          </w:p>
        </w:tc>
        <w:tc>
          <w:tcPr>
            <w:cnfStyle w:evenVBand="true" w:oddVBand="false" w:firstColumn="false"/>
            <w:tcW w:w="13.727455%" w:type="pct"/>
          </w:tcPr>
          <w:p>
            <w:pPr>
              <w:pStyle w:val="table-level-0"/>
              <w:ind w:leftChars="0" w:left="0" w:right="0"/>
              <w:keepNext/>
            </w:pPr>
            <w:r>
              <w:t>-80,1</w:t>
            </w:r>
          </w:p>
        </w:tc>
        <w:tc>
          <w:tcPr>
            <w:cnfStyle w:evenVBand="false" w:oddVBand="true" w:firstColumn="false"/>
            <w:tcW w:w="13.727455%" w:type="pct"/>
          </w:tcPr>
          <w:p>
            <w:pPr>
              <w:pStyle w:val="table-level-0"/>
              <w:ind w:leftChars="0" w:left="0" w:right="0"/>
              <w:keepNext/>
            </w:pPr>
            <w:r>
              <w:t>-118,1</w:t>
            </w:r>
          </w:p>
        </w:tc>
        <w:tc>
          <w:tcPr>
            <w:cnfStyle w:evenVBand="true" w:oddVBand="false" w:firstColumn="false"/>
            <w:tcW w:w="13.727455%" w:type="pct"/>
          </w:tcPr>
          <w:p>
            <w:pPr>
              <w:pStyle w:val="table-level-0"/>
              <w:ind w:leftChars="0" w:left="0" w:right="0"/>
              <w:keepNext/>
            </w:pPr>
            <w:r>
              <w:t>-68,2</w:t>
            </w:r>
          </w:p>
        </w:tc>
        <w:tc>
          <w:tcPr>
            <w:cnfStyle w:evenVBand="false" w:oddVBand="true" w:firstColumn="false"/>
            <w:tcW w:w="13.727455%" w:type="pct"/>
          </w:tcPr>
          <w:p>
            <w:pPr>
              <w:pStyle w:val="table-level-0"/>
              <w:ind w:leftChars="0" w:left="0" w:right="0"/>
              <w:keepNext/>
            </w:pPr>
            <w:r>
              <w:t>-12</w:t>
            </w:r>
          </w:p>
        </w:tc>
        <w:tc>
          <w:tcPr>
            <w:cnfStyle w:evenVBand="true" w:oddVBand="false" w:firstColumn="false"/>
            <w:tcW w:w="13.727455%" w:type="pct"/>
          </w:tcPr>
          <w:p>
            <w:pPr>
              <w:pStyle w:val="table-level-0"/>
              <w:ind w:leftChars="0" w:left="0" w:right="0"/>
              <w:keepNext/>
            </w:pPr>
            <w:r>
              <w:t>-12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commerciali</w:t>
            </w:r>
          </w:p>
        </w:tc>
        <w:tc>
          <w:tcPr>
            <w:cnfStyle w:evenVBand="true" w:oddVBand="false" w:firstColumn="false"/>
            <w:tcW w:w="13.727455%" w:type="pct"/>
          </w:tcPr>
          <w:p>
            <w:pPr>
              <w:pStyle w:val="table-level-0"/>
              <w:ind w:leftChars="0" w:left="0" w:right="0"/>
              <w:keepNext/>
            </w:pPr>
            <w:r>
              <w:t>127</w:t>
            </w:r>
          </w:p>
        </w:tc>
        <w:tc>
          <w:tcPr>
            <w:cnfStyle w:evenVBand="false" w:oddVBand="true" w:firstColumn="false"/>
            <w:tcW w:w="13.727455%" w:type="pct"/>
          </w:tcPr>
          <w:p>
            <w:pPr>
              <w:pStyle w:val="table-level-0"/>
              <w:ind w:leftChars="0" w:left="0" w:right="0"/>
              <w:keepNext/>
            </w:pPr>
            <w:r>
              <w:t>97,8</w:t>
            </w:r>
          </w:p>
        </w:tc>
        <w:tc>
          <w:tcPr>
            <w:cnfStyle w:evenVBand="true" w:oddVBand="false" w:firstColumn="false"/>
            <w:tcW w:w="13.727455%" w:type="pct"/>
          </w:tcPr>
          <w:p>
            <w:pPr>
              <w:pStyle w:val="table-level-0"/>
              <w:ind w:leftChars="0" w:left="0" w:right="0"/>
              <w:keepNext/>
            </w:pPr>
            <w:r>
              <w:t>-104</w:t>
            </w:r>
          </w:p>
        </w:tc>
        <w:tc>
          <w:tcPr>
            <w:cnfStyle w:evenVBand="false" w:oddVBand="true" w:firstColumn="false"/>
            <w:tcW w:w="13.727455%" w:type="pct"/>
          </w:tcPr>
          <w:p>
            <w:pPr>
              <w:pStyle w:val="table-level-0"/>
              <w:ind w:leftChars="0" w:left="0" w:right="0"/>
              <w:keepNext/>
            </w:pPr>
            <w:r>
              <w:t>48</w:t>
            </w:r>
          </w:p>
        </w:tc>
        <w:tc>
          <w:tcPr>
            <w:cnfStyle w:evenVBand="true" w:oddVBand="false" w:firstColumn="false"/>
            <w:tcW w:w="13.727455%" w:type="pct"/>
          </w:tcPr>
          <w:p>
            <w:pPr>
              <w:pStyle w:val="table-level-0"/>
              <w:ind w:leftChars="0" w:left="0" w:right="0"/>
              <w:keepNext/>
            </w:pPr>
            <w:r>
              <w:t>281</w:t>
            </w:r>
          </w:p>
        </w:tc>
      </w:tr>
    </w:tbl>
    <w:p>
      <w:pPr>
        <w:pStyle w:val="TableBottomMargin"/>
      </w:pPr>
    </w:p>
    <w:p>
      <w:pPr>
        <w:pStyle w:val="BodyText"/>
        <w:ind w:leftChars="0" w:left="0" w:right="0"/>
      </w:pPr>
      <w:r>
        <w:t xml:space="preserve">Dal prospetto si evince che al 31 dicembre 2022 la voce </w:t>
      </w:r>
      <w:r>
        <w:rPr>
          <w:i/>
          <w:iCs/>
        </w:rPr>
        <w:t>Variazione dei crediti e debiti commerciali</w:t>
      </w:r>
      <w:r>
        <w:t xml:space="preserve"> ha generato liquidità per € 46.875.</w:t>
      </w:r>
    </w:p>
    <w:p>
      <w:pPr>
        <w:pStyle w:val="BodyText"/>
        <w:ind w:leftChars="0" w:left="0" w:right="0"/>
      </w:pPr>
      <w:r>
        <w:t xml:space="preserve">Il grafico seguente mostra l’analisi dell’andamento delle componenti della voce </w:t>
      </w:r>
      <w:r>
        <w:rPr>
          <w:i/>
          <w:iCs/>
        </w:rPr>
        <w:t>Variazione dei crediti e debiti commerciali</w:t>
      </w:r>
      <w:r>
        <w:t xml:space="preserve"> dal 31 dicembre 2017 al 31 dicembre 2022. Nel periodo evidenziato, il valore medio è stato pari a € 31.850.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5" name="432eeb6d974183ad8b37f3af6e1ea430.png" descr="_static/temp/432eeb6d974183ad8b37f3af6e1ea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432eeb6d974183ad8b37f3af6e1ea430.png" descr="_static/temp/432eeb6d974183ad8b37f3af6e1ea430.png"/>
                    <pic:cNvPicPr>
                      <a:picLocks noChangeAspect="1" noChangeArrowheads="1"/>
                    </pic:cNvPicPr>
                  </pic:nvPicPr>
                  <pic:blipFill>
                    <a:blip xmlns:r="http://schemas.openxmlformats.org/officeDocument/2006/relationships" r:embed="rId128"/>
                    <a:srcRect/>
                    <a:stretch>
                      <a:fillRect/>
                    </a:stretch>
                  </pic:blipFill>
                  <pic:spPr bwMode="auto">
                    <a:xfrm>
                      <a:off x="0" y="0"/>
                      <a:ext cx="6476365" cy="3266766"/>
                    </a:xfrm>
                    <a:prstGeom prst="rect">
                      <a:avLst/>
                    </a:prstGeom>
                    <a:noFill/>
                  </pic:spPr>
                </pic:pic>
              </a:graphicData>
            </a:graphic>
          </wp:inline>
        </w:drawing>
      </w:r>
    </w:p>
    <w:bookmarkEnd w:id="601"/>
    <w:bookmarkEnd w:id="602"/>
    <w:bookmarkStart w:id="603" w:name="_adf597d1eac4fca4fe37dda790f81b0b"/>
    <w:bookmarkStart w:id="604" w:name="_e80d103b8558aa0dd5c9956a9d292da0"/>
    <w:p>
      <w:pPr>
        <w:pStyle w:val="Heading4"/>
        <w:keepNext/>
      </w:pPr>
      <w:r>
        <w:t>Variazione dei crediti e debiti verso imprese infragruppo</w:t>
      </w:r>
    </w:p>
    <w:p>
      <w:pPr>
        <w:pStyle w:val="BodyText"/>
        <w:ind w:leftChars="0" w:left="0" w:right="0"/>
      </w:pPr>
      <w:r>
        <w:t xml:space="preserve">La presente sottosezione della </w:t>
      </w:r>
      <w:hyperlink w:anchor="_d9a9cbcd4ed16de5cdde4f46040f7306">
        <w:r>
          <w:rPr>
            <w:rStyle w:val="Hyperlink"/>
          </w:rPr>
          <w:t>Variazione di capitale circolante netto</w:t>
        </w:r>
      </w:hyperlink>
      <w:r>
        <w:t xml:space="preserve"> è dedicata alle variazioni di crediti e debiti verso imprese infragruppo. Queste rappresentano l’impatto che hanno, sui flussi monetari, l’aumento o la diminuzione di attività e passività nei confronti di imprese infragruppo. Un aumento dei crediti ↑ e una diminuzione dei debiti ↓ comportano una riduzione di liquidità operativa (</w:t>
      </w:r>
      <w:r>
        <w:rPr>
          <w:b/>
          <w:bCs/>
        </w:rPr>
        <w:t>‒</w:t>
      </w:r>
      <w:r>
        <w:t>). Viceversa, una diminuzione dei crediti ↓ e un aumento dei debiti ↑ comportano un incremento di liquidità operativa (</w:t>
      </w:r>
      <w:r>
        <w:rPr>
          <w:b/>
          <w:bCs/>
        </w:rPr>
        <w:t>+</w:t>
      </w:r>
      <w:r>
        <w:t>).</w:t>
      </w:r>
    </w:p>
    <w:p>
      <w:pPr>
        <w:pStyle w:val="BodyText"/>
        <w:ind w:leftChars="0" w:left="0" w:right="0"/>
      </w:pPr>
      <w:r>
        <w:t xml:space="preserve">Il prospetto seguente illustra il dettaglio analitico della voce </w:t>
      </w:r>
      <w:r>
        <w:rPr>
          <w:i/>
          <w:iCs/>
        </w:rPr>
        <w:t>Variazione dei crediti e debiti verso imprese infragruppo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e80d103b8558aa0dd5c9956a9d292da0">
              <w:r>
                <w:rPr>
                  <w:rStyle w:val="Hyperlink"/>
                </w:rPr>
                <w:t>Var. crediti/debiti infragruppo</w:t>
              </w:r>
            </w:hyperlink>
          </w:p>
        </w:tc>
        <w:tc>
          <w:tcPr>
            <w:cnfStyle w:evenVBand="true" w:oddVBand="false" w:firstColumn="false"/>
            <w:tcW w:w="13.727455%" w:type="pct"/>
          </w:tcPr>
          <w:p>
            <w:pPr>
              <w:pStyle w:val="table-level-1"/>
              <w:ind w:leftChars="0" w:left="0" w:right="0"/>
              <w:keepNext/>
            </w:pPr>
            <w:r>
              <w:t>3,5</w:t>
            </w:r>
          </w:p>
        </w:tc>
        <w:tc>
          <w:tcPr>
            <w:cnfStyle w:evenVBand="false" w:oddVBand="true" w:firstColumn="false"/>
            <w:tcW w:w="13.727455%" w:type="pct"/>
          </w:tcPr>
          <w:p>
            <w:pPr>
              <w:pStyle w:val="table-level-1"/>
              <w:ind w:leftChars="0" w:left="0" w:right="0"/>
              <w:keepNext/>
            </w:pPr>
            <w:r>
              <w:t>6,2</w:t>
            </w:r>
          </w:p>
        </w:tc>
        <w:tc>
          <w:tcPr>
            <w:cnfStyle w:evenVBand="true" w:oddVBand="false" w:firstColumn="false"/>
            <w:tcW w:w="13.727455%" w:type="pct"/>
          </w:tcPr>
          <w:p>
            <w:pPr>
              <w:pStyle w:val="table-level-1"/>
              <w:ind w:leftChars="0" w:left="0" w:right="0"/>
              <w:keepNext/>
            </w:pPr>
            <w:r>
              <w:t>1,5</w:t>
            </w:r>
          </w:p>
        </w:tc>
        <w:tc>
          <w:tcPr>
            <w:cnfStyle w:evenVBand="false" w:oddVBand="true" w:firstColumn="false"/>
            <w:tcW w:w="13.727455%" w:type="pct"/>
          </w:tcPr>
          <w:p>
            <w:pPr>
              <w:pStyle w:val="table-level-1"/>
              <w:ind w:leftChars="0" w:left="0" w:right="0"/>
              <w:keepNext/>
            </w:pPr>
            <w:r>
              <w:t>3,5</w:t>
            </w:r>
          </w:p>
        </w:tc>
        <w:tc>
          <w:tcPr>
            <w:cnfStyle w:evenVBand="true" w:oddVBand="false" w:firstColumn="false"/>
            <w:tcW w:w="13.727455%" w:type="pct"/>
          </w:tcPr>
          <w:p>
            <w:pPr>
              <w:pStyle w:val="table-level-1"/>
              <w:ind w:leftChars="0" w:left="0" w:right="0"/>
              <w:keepNext/>
            </w:pPr>
            <w:r>
              <w:t>5,6</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v/imprese infragruppo</w:t>
            </w:r>
          </w:p>
        </w:tc>
        <w:tc>
          <w:tcPr>
            <w:cnfStyle w:evenVBand="true" w:oddVBand="false" w:firstColumn="false"/>
            <w:tcW w:w="13.727455%" w:type="pct"/>
          </w:tcPr>
          <w:p>
            <w:pPr>
              <w:pStyle w:val="table-level-0"/>
              <w:ind w:leftChars="0" w:left="0" w:right="0"/>
              <w:keepNext/>
            </w:pPr>
            <w:r>
              <w:t>2,8</w:t>
            </w:r>
          </w:p>
        </w:tc>
        <w:tc>
          <w:tcPr>
            <w:cnfStyle w:evenVBand="false" w:oddVBand="true" w:firstColumn="false"/>
            <w:tcW w:w="13.727455%" w:type="pct"/>
          </w:tcPr>
          <w:p>
            <w:pPr>
              <w:pStyle w:val="table-level-0"/>
              <w:ind w:leftChars="0" w:left="0" w:right="0"/>
              <w:keepNext/>
            </w:pPr>
            <w:r>
              <w:t>4,2</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4,3</w:t>
            </w:r>
          </w:p>
        </w:tc>
        <w:tc>
          <w:tcPr>
            <w:cnfStyle w:evenVBand="true" w:oddVBand="false" w:firstColumn="false"/>
            <w:tcW w:w="13.727455%" w:type="pct"/>
          </w:tcPr>
          <w:p>
            <w:pPr>
              <w:pStyle w:val="table-level-0"/>
              <w:ind w:leftChars="0" w:left="0" w:right="0"/>
              <w:keepNext/>
            </w:pPr>
            <w:r>
              <w:t>6,4</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v/imprese infragruppo</w:t>
            </w:r>
          </w:p>
        </w:tc>
        <w:tc>
          <w:tcPr>
            <w:cnfStyle w:evenVBand="true" w:oddVBand="false" w:firstColumn="false"/>
            <w:tcW w:w="13.727455%" w:type="pct"/>
          </w:tcPr>
          <w:p>
            <w:pPr>
              <w:pStyle w:val="table-level-0"/>
              <w:ind w:leftChars="0" w:left="0" w:right="0"/>
              <w:keepNext/>
            </w:pPr>
            <w:r>
              <w:t>0,7</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-0,8</w:t>
            </w:r>
          </w:p>
        </w:tc>
        <w:tc>
          <w:tcPr>
            <w:cnfStyle w:evenVBand="true" w:oddVBand="false" w:firstColumn="false"/>
            <w:tcW w:w="13.727455%" w:type="pct"/>
          </w:tcPr>
          <w:p>
            <w:pPr>
              <w:pStyle w:val="table-level-0"/>
              <w:ind w:leftChars="0" w:left="0" w:right="0"/>
              <w:keepNext/>
            </w:pPr>
            <w:r>
              <w:t>-0,8</w:t>
            </w:r>
          </w:p>
        </w:tc>
      </w:tr>
    </w:tbl>
    <w:p>
      <w:pPr>
        <w:pStyle w:val="TableBottomMargin"/>
      </w:pPr>
    </w:p>
    <w:p>
      <w:pPr>
        <w:pStyle w:val="BodyText"/>
        <w:ind w:leftChars="0" w:left="0" w:right="0"/>
      </w:pPr>
      <w:r>
        <w:t xml:space="preserve">Dal prospetto si evince che al 31 dicembre 2022 la voce </w:t>
      </w:r>
      <w:r>
        <w:rPr>
          <w:i/>
          <w:iCs/>
        </w:rPr>
        <w:t>Variazione dei crediti e debiti verso imprese infragruppo</w:t>
      </w:r>
      <w:r>
        <w:t xml:space="preserve"> ha generato liquidità per € 3.500.</w:t>
      </w:r>
    </w:p>
    <w:p>
      <w:pPr>
        <w:pStyle w:val="BodyText"/>
        <w:ind w:leftChars="0" w:left="0" w:right="0"/>
      </w:pPr>
      <w:r>
        <w:t xml:space="preserve">Il grafico seguente mostra l’analisi dell’andamento delle componenti della voce </w:t>
      </w:r>
      <w:r>
        <w:rPr>
          <w:i/>
          <w:iCs/>
        </w:rPr>
        <w:t>Variazione dei crediti e debiti verso imprese infragruppo</w:t>
      </w:r>
      <w:r>
        <w:t xml:space="preserve"> dal 31 dicembre 2017 al 31 dicembre 2022. Nel periodo evidenziato, il valore medio è stato pari a € 4.060.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6" name="7fd3cbc79ff83e23976c48c8e6d040ac.png" descr="_static/temp/7fd3cbc79ff83e23976c48c8e6d040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7fd3cbc79ff83e23976c48c8e6d040ac.png" descr="_static/temp/7fd3cbc79ff83e23976c48c8e6d040ac.png"/>
                    <pic:cNvPicPr>
                      <a:picLocks noChangeAspect="1" noChangeArrowheads="1"/>
                    </pic:cNvPicPr>
                  </pic:nvPicPr>
                  <pic:blipFill>
                    <a:blip xmlns:r="http://schemas.openxmlformats.org/officeDocument/2006/relationships" r:embed="rId129"/>
                    <a:srcRect/>
                    <a:stretch>
                      <a:fillRect/>
                    </a:stretch>
                  </pic:blipFill>
                  <pic:spPr bwMode="auto">
                    <a:xfrm>
                      <a:off x="0" y="0"/>
                      <a:ext cx="6476365" cy="3266766"/>
                    </a:xfrm>
                    <a:prstGeom prst="rect">
                      <a:avLst/>
                    </a:prstGeom>
                    <a:noFill/>
                  </pic:spPr>
                </pic:pic>
              </a:graphicData>
            </a:graphic>
          </wp:inline>
        </w:drawing>
      </w:r>
    </w:p>
    <w:bookmarkEnd w:id="603"/>
    <w:bookmarkEnd w:id="604"/>
    <w:bookmarkStart w:id="605" w:name="_bf399f8e0c9cc6a4d0fe28220022df82"/>
    <w:bookmarkStart w:id="606" w:name="_0d097a1682ce29672b23e4eadb525dde"/>
    <w:p>
      <w:pPr>
        <w:pStyle w:val="Heading4"/>
        <w:keepNext/>
      </w:pPr>
      <w:r>
        <w:t>Variazione dei crediti e debiti tributari</w:t>
      </w:r>
    </w:p>
    <w:p>
      <w:pPr>
        <w:pStyle w:val="BodyText"/>
        <w:ind w:leftChars="0" w:left="0" w:right="0"/>
      </w:pPr>
      <w:r>
        <w:t xml:space="preserve">La presente sottosezione della </w:t>
      </w:r>
      <w:hyperlink w:anchor="_d9a9cbcd4ed16de5cdde4f46040f7306">
        <w:r>
          <w:rPr>
            <w:rStyle w:val="Hyperlink"/>
          </w:rPr>
          <w:t>Variazione di capitale circolante netto</w:t>
        </w:r>
      </w:hyperlink>
      <w:r>
        <w:t xml:space="preserve"> è dedicata alle variazioni di crediti e debiti tributari. Queste rappresentano l’impatto che hanno, sui flussi monetari, l’aumento o la diminuzione di attività e passività nei confronti dell’Erario. Un aumento dei crediti ↑ e una diminuzione dei debiti ↓ comportano una riduzione di liquidità operativa (</w:t>
      </w:r>
      <w:r>
        <w:rPr>
          <w:b/>
          <w:bCs/>
        </w:rPr>
        <w:t>‒</w:t>
      </w:r>
      <w:r>
        <w:t>). Viceversa, una diminuzione dei crediti ↓ e un aumento dei debiti ↑ comportano un incremento di liquidità operativa (</w:t>
      </w:r>
      <w:r>
        <w:rPr>
          <w:b/>
          <w:bCs/>
        </w:rPr>
        <w:t>+</w:t>
      </w:r>
      <w:r>
        <w:t>).</w:t>
      </w:r>
    </w:p>
    <w:p>
      <w:pPr>
        <w:pStyle w:val="BodyText"/>
        <w:ind w:leftChars="0" w:left="0" w:right="0"/>
      </w:pPr>
      <w:r>
        <w:t xml:space="preserve">Il prospetto seguente illustra il dettaglio analitico della voce </w:t>
      </w:r>
      <w:r>
        <w:rPr>
          <w:i/>
          <w:iCs/>
        </w:rPr>
        <w:t>Variazione dei crediti e debiti tributari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0d097a1682ce29672b23e4eadb525dde">
              <w:r>
                <w:rPr>
                  <w:rStyle w:val="Hyperlink"/>
                </w:rPr>
                <w:t>Var. crediti/debiti tributari</w:t>
              </w:r>
            </w:hyperlink>
          </w:p>
        </w:tc>
        <w:tc>
          <w:tcPr>
            <w:cnfStyle w:evenVBand="true" w:oddVBand="false" w:firstColumn="false"/>
            <w:tcW w:w="13.727455%" w:type="pct"/>
          </w:tcPr>
          <w:p>
            <w:pPr>
              <w:pStyle w:val="table-level-1"/>
              <w:ind w:leftChars="0" w:left="0" w:right="0"/>
              <w:keepNext/>
            </w:pPr>
            <w:r>
              <w:t>-269,3</w:t>
            </w:r>
          </w:p>
        </w:tc>
        <w:tc>
          <w:tcPr>
            <w:cnfStyle w:evenVBand="false" w:oddVBand="true" w:firstColumn="false"/>
            <w:tcW w:w="13.727455%" w:type="pct"/>
          </w:tcPr>
          <w:p>
            <w:pPr>
              <w:pStyle w:val="table-level-1"/>
              <w:ind w:leftChars="0" w:left="0" w:right="0"/>
              <w:keepNext/>
            </w:pPr>
            <w:r>
              <w:t>-323,6</w:t>
            </w:r>
          </w:p>
        </w:tc>
        <w:tc>
          <w:tcPr>
            <w:cnfStyle w:evenVBand="true" w:oddVBand="false" w:firstColumn="false"/>
            <w:tcW w:w="13.727455%" w:type="pct"/>
          </w:tcPr>
          <w:p>
            <w:pPr>
              <w:pStyle w:val="table-level-1"/>
              <w:ind w:leftChars="0" w:left="0" w:right="0"/>
              <w:keepNext/>
            </w:pPr>
            <w:r>
              <w:t>-353,2</w:t>
            </w:r>
          </w:p>
        </w:tc>
        <w:tc>
          <w:tcPr>
            <w:cnfStyle w:evenVBand="false" w:oddVBand="true" w:firstColumn="false"/>
            <w:tcW w:w="13.727455%" w:type="pct"/>
          </w:tcPr>
          <w:p>
            <w:pPr>
              <w:pStyle w:val="table-level-1"/>
              <w:ind w:leftChars="0" w:left="0" w:right="0"/>
              <w:keepNext/>
            </w:pPr>
            <w:r>
              <w:t>-292,2</w:t>
            </w:r>
          </w:p>
        </w:tc>
        <w:tc>
          <w:tcPr>
            <w:cnfStyle w:evenVBand="true" w:oddVBand="false" w:firstColumn="false"/>
            <w:tcW w:w="13.727455%" w:type="pct"/>
          </w:tcPr>
          <w:p>
            <w:pPr>
              <w:pStyle w:val="table-level-1"/>
              <w:ind w:leftChars="0" w:left="0" w:right="0"/>
              <w:keepNext/>
            </w:pPr>
            <w:r>
              <w:t>-144,7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Imposte dell’esercizio</w:t>
            </w:r>
          </w:p>
        </w:tc>
        <w:tc>
          <w:tcPr>
            <w:cnfStyle w:evenVBand="true" w:oddVBand="false" w:firstColumn="false"/>
            <w:tcW w:w="13.727455%" w:type="pct"/>
          </w:tcPr>
          <w:p>
            <w:pPr>
              <w:pStyle w:val="table-level-0"/>
              <w:ind w:leftChars="0" w:left="0" w:right="0"/>
              <w:keepNext/>
            </w:pPr>
            <w:r>
              <w:t>-270,1</w:t>
            </w:r>
          </w:p>
        </w:tc>
        <w:tc>
          <w:tcPr>
            <w:cnfStyle w:evenVBand="false" w:oddVBand="true" w:firstColumn="false"/>
            <w:tcW w:w="13.727455%" w:type="pct"/>
          </w:tcPr>
          <w:p>
            <w:pPr>
              <w:pStyle w:val="table-level-0"/>
              <w:ind w:leftChars="0" w:left="0" w:right="0"/>
              <w:keepNext/>
            </w:pPr>
            <w:r>
              <w:t>-343,9</w:t>
            </w:r>
          </w:p>
        </w:tc>
        <w:tc>
          <w:tcPr>
            <w:cnfStyle w:evenVBand="true" w:oddVBand="false" w:firstColumn="false"/>
            <w:tcW w:w="13.727455%" w:type="pct"/>
          </w:tcPr>
          <w:p>
            <w:pPr>
              <w:pStyle w:val="table-level-0"/>
              <w:ind w:leftChars="0" w:left="0" w:right="0"/>
              <w:keepNext/>
            </w:pPr>
            <w:r>
              <w:t>-375,5</w:t>
            </w:r>
          </w:p>
        </w:tc>
        <w:tc>
          <w:tcPr>
            <w:cnfStyle w:evenVBand="false" w:oddVBand="true" w:firstColumn="false"/>
            <w:tcW w:w="13.727455%" w:type="pct"/>
          </w:tcPr>
          <w:p>
            <w:pPr>
              <w:pStyle w:val="table-level-0"/>
              <w:ind w:leftChars="0" w:left="0" w:right="0"/>
              <w:keepNext/>
            </w:pPr>
            <w:r>
              <w:t>-292,5</w:t>
            </w:r>
          </w:p>
        </w:tc>
        <w:tc>
          <w:tcPr>
            <w:cnfStyle w:evenVBand="true" w:oddVBand="false" w:firstColumn="false"/>
            <w:tcW w:w="13.727455%" w:type="pct"/>
          </w:tcPr>
          <w:p>
            <w:pPr>
              <w:pStyle w:val="table-level-0"/>
              <w:ind w:leftChars="0" w:left="0" w:right="0"/>
              <w:keepNext/>
            </w:pPr>
            <w:r>
              <w:t>-164,3</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crediti IVA</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3</w:t>
            </w:r>
          </w:p>
        </w:tc>
        <w:tc>
          <w:tcPr>
            <w:cnfStyle w:evenVBand="true" w:oddVBand="false" w:firstColumn="false"/>
            <w:tcW w:w="13.727455%" w:type="pct"/>
          </w:tcPr>
          <w:p>
            <w:pPr>
              <w:pStyle w:val="table-level-0"/>
              <w:ind w:leftChars="0" w:left="0" w:right="0"/>
              <w:keepNext/>
            </w:pPr>
            <w:r>
              <w:t>3</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debiti IVA</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10</w:t>
            </w:r>
          </w:p>
        </w:tc>
        <w:tc>
          <w:tcPr>
            <w:cnfStyle w:evenVBand="true" w:oddVBand="false" w:firstColumn="false"/>
            <w:tcW w:w="13.727455%" w:type="pct"/>
          </w:tcPr>
          <w:p>
            <w:pPr>
              <w:pStyle w:val="table-level-0"/>
              <w:ind w:leftChars="0" w:left="0" w:right="0"/>
              <w:keepNext/>
            </w:pPr>
            <w:r>
              <w:t>14,5</w:t>
            </w:r>
          </w:p>
        </w:tc>
        <w:tc>
          <w:tcPr>
            <w:cnfStyle w:evenVBand="false" w:oddVBand="true" w:firstColumn="false"/>
            <w:tcW w:w="13.727455%" w:type="pct"/>
          </w:tcPr>
          <w:p>
            <w:pPr>
              <w:pStyle w:val="table-level-0"/>
              <w:ind w:leftChars="0" w:left="0" w:right="0"/>
              <w:keepNext/>
            </w:pPr>
            <w:r>
              <w:t>-9,5</w:t>
            </w:r>
          </w:p>
        </w:tc>
        <w:tc>
          <w:tcPr>
            <w:cnfStyle w:evenVBand="true" w:oddVBand="false" w:firstColumn="false"/>
            <w:tcW w:w="13.727455%" w:type="pct"/>
          </w:tcPr>
          <w:p>
            <w:pPr>
              <w:pStyle w:val="table-level-0"/>
              <w:ind w:leftChars="0" w:left="0" w:right="0"/>
              <w:keepNext/>
            </w:pPr>
            <w:r>
              <w:t>0,5</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crediti tributari</w:t>
            </w:r>
          </w:p>
        </w:tc>
        <w:tc>
          <w:tcPr>
            <w:cnfStyle w:evenVBand="true" w:oddVBand="false" w:firstColumn="false"/>
            <w:tcW w:w="13.727455%" w:type="pct"/>
          </w:tcPr>
          <w:p>
            <w:pPr>
              <w:pStyle w:val="table-level-0"/>
              <w:ind w:leftChars="0" w:left="0" w:right="0"/>
              <w:keepNext/>
            </w:pPr>
            <w:r>
              <w:t>-14,2</w:t>
            </w:r>
          </w:p>
        </w:tc>
        <w:tc>
          <w:tcPr>
            <w:cnfStyle w:evenVBand="false" w:oddVBand="true" w:firstColumn="false"/>
            <w:tcW w:w="13.727455%" w:type="pct"/>
          </w:tcPr>
          <w:p>
            <w:pPr>
              <w:pStyle w:val="table-level-0"/>
              <w:ind w:leftChars="0" w:left="0" w:right="0"/>
              <w:keepNext/>
            </w:pPr>
            <w:r>
              <w:t>-2,2</w:t>
            </w:r>
          </w:p>
        </w:tc>
        <w:tc>
          <w:tcPr>
            <w:cnfStyle w:evenVBand="true" w:oddVBand="false" w:firstColumn="false"/>
            <w:tcW w:w="13.727455%" w:type="pct"/>
          </w:tcPr>
          <w:p>
            <w:pPr>
              <w:pStyle w:val="table-level-0"/>
              <w:ind w:leftChars="0" w:left="0" w:right="0"/>
              <w:keepNext/>
            </w:pPr>
            <w:r>
              <w:t>0,8</w:t>
            </w:r>
          </w:p>
        </w:tc>
        <w:tc>
          <w:tcPr>
            <w:cnfStyle w:evenVBand="false" w:oddVBand="true" w:firstColumn="false"/>
            <w:tcW w:w="13.727455%" w:type="pct"/>
          </w:tcPr>
          <w:p>
            <w:pPr>
              <w:pStyle w:val="table-level-0"/>
              <w:ind w:leftChars="0" w:left="0" w:right="0"/>
              <w:keepNext/>
            </w:pPr>
            <w:r>
              <w:t>4,8</w:t>
            </w:r>
          </w:p>
        </w:tc>
        <w:tc>
          <w:tcPr>
            <w:cnfStyle w:evenVBand="true" w:oddVBand="false" w:firstColumn="false"/>
            <w:tcW w:w="13.727455%" w:type="pct"/>
          </w:tcPr>
          <w:p>
            <w:pPr>
              <w:pStyle w:val="table-level-0"/>
              <w:ind w:leftChars="0" w:left="0" w:right="0"/>
              <w:keepNext/>
            </w:pPr>
            <w:r>
              <w:t>14,1</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debiti tributari</w:t>
            </w:r>
          </w:p>
        </w:tc>
        <w:tc>
          <w:tcPr>
            <w:cnfStyle w:evenVBand="true" w:oddVBand="false" w:firstColumn="false"/>
            <w:tcW w:w="13.727455%" w:type="pct"/>
          </w:tcPr>
          <w:p>
            <w:pPr>
              <w:pStyle w:val="table-level-0"/>
              <w:ind w:leftChars="0" w:left="0" w:right="0"/>
              <w:keepNext/>
            </w:pPr>
            <w:r>
              <w:t>22</w:t>
            </w:r>
          </w:p>
        </w:tc>
        <w:tc>
          <w:tcPr>
            <w:cnfStyle w:evenVBand="false" w:oddVBand="true" w:firstColumn="false"/>
            <w:tcW w:w="13.727455%" w:type="pct"/>
          </w:tcPr>
          <w:p>
            <w:pPr>
              <w:pStyle w:val="table-level-0"/>
              <w:ind w:leftChars="0" w:left="0" w:right="0"/>
              <w:keepNext/>
            </w:pPr>
            <w:r>
              <w:t>12,5</w:t>
            </w:r>
          </w:p>
        </w:tc>
        <w:tc>
          <w:tcPr>
            <w:cnfStyle w:evenVBand="true" w:oddVBand="false" w:firstColumn="false"/>
            <w:tcW w:w="13.727455%" w:type="pct"/>
          </w:tcPr>
          <w:p>
            <w:pPr>
              <w:pStyle w:val="table-level-0"/>
              <w:ind w:leftChars="0" w:left="0" w:right="0"/>
              <w:keepNext/>
            </w:pPr>
            <w:r>
              <w:t>12</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2</w:t>
            </w:r>
          </w:p>
        </w:tc>
      </w:tr>
    </w:tbl>
    <w:p>
      <w:pPr>
        <w:pStyle w:val="TableBottomMargin"/>
      </w:pPr>
    </w:p>
    <w:p>
      <w:pPr>
        <w:pStyle w:val="BodyText"/>
        <w:ind w:leftChars="0" w:left="0" w:right="0"/>
      </w:pPr>
      <w:r>
        <w:t xml:space="preserve">Dal prospetto si evince che al 31 dicembre 2022 la voce </w:t>
      </w:r>
      <w:r>
        <w:rPr>
          <w:i/>
          <w:iCs/>
        </w:rPr>
        <w:t>Variazione dei crediti e debiti tributari</w:t>
      </w:r>
      <w:r>
        <w:t xml:space="preserve"> ha assorbito liquidità per € -269.267.</w:t>
      </w:r>
    </w:p>
    <w:p>
      <w:pPr>
        <w:pStyle w:val="BodyText"/>
        <w:ind w:leftChars="0" w:left="0" w:right="0"/>
      </w:pPr>
      <w:r>
        <w:t xml:space="preserve">Il grafico seguente mostra l’analisi dell’andamento delle componenti della voce </w:t>
      </w:r>
      <w:r>
        <w:rPr>
          <w:i/>
          <w:iCs/>
        </w:rPr>
        <w:t>Variazione dei crediti e debiti tributari</w:t>
      </w:r>
      <w:r>
        <w:t xml:space="preserve"> dal 31 dicembre 2017 al 31 dicembre 2022. Nel periodo evidenziato, il valore medio è stato pari a € -276.610.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7" name="130b94b5a4526b4c884aa8d4df5b0438.png" descr="_static/temp/130b94b5a4526b4c884aa8d4df5b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130b94b5a4526b4c884aa8d4df5b0438.png" descr="_static/temp/130b94b5a4526b4c884aa8d4df5b0438.png"/>
                    <pic:cNvPicPr>
                      <a:picLocks noChangeAspect="1" noChangeArrowheads="1"/>
                    </pic:cNvPicPr>
                  </pic:nvPicPr>
                  <pic:blipFill>
                    <a:blip xmlns:r="http://schemas.openxmlformats.org/officeDocument/2006/relationships" r:embed="rId130"/>
                    <a:srcRect/>
                    <a:stretch>
                      <a:fillRect/>
                    </a:stretch>
                  </pic:blipFill>
                  <pic:spPr bwMode="auto">
                    <a:xfrm>
                      <a:off x="0" y="0"/>
                      <a:ext cx="6476365" cy="3266766"/>
                    </a:xfrm>
                    <a:prstGeom prst="rect">
                      <a:avLst/>
                    </a:prstGeom>
                    <a:noFill/>
                  </pic:spPr>
                </pic:pic>
              </a:graphicData>
            </a:graphic>
          </wp:inline>
        </w:drawing>
      </w:r>
    </w:p>
    <w:bookmarkEnd w:id="605"/>
    <w:bookmarkEnd w:id="606"/>
    <w:bookmarkStart w:id="607" w:name="_77afcdcc02226fdcd2e7a1b0f29d13ae"/>
    <w:bookmarkStart w:id="608" w:name="_99b9d2e70f37a487cbd1b7a33b831c62"/>
    <w:p>
      <w:pPr>
        <w:pStyle w:val="Heading4"/>
        <w:keepNext/>
      </w:pPr>
      <w:r>
        <w:t>Altre variazioni di capitale circolante netto</w:t>
      </w:r>
    </w:p>
    <w:p>
      <w:pPr>
        <w:pStyle w:val="BodyText"/>
        <w:ind w:leftChars="0" w:left="0" w:right="0"/>
      </w:pPr>
      <w:r>
        <w:t xml:space="preserve">La presente sottosezione della </w:t>
      </w:r>
      <w:hyperlink w:anchor="_d9a9cbcd4ed16de5cdde4f46040f7306">
        <w:r>
          <w:rPr>
            <w:rStyle w:val="Hyperlink"/>
          </w:rPr>
          <w:t>Variazione di capitale circolante netto</w:t>
        </w:r>
      </w:hyperlink>
      <w:r>
        <w:t xml:space="preserve"> è dedicata alle altre variazioni di capitale circolante netto. Queste rappresentano l’impatto che hanno, sui flussi monetari, l’aumento o la diminuzione di attività e passività correnti nei confronti di soggetti vari. Un aumento dei crediti ↑ e una diminuzione dei debiti ↓ comportano una riduzione di liquidità operativa (</w:t>
      </w:r>
      <w:r>
        <w:rPr>
          <w:b/>
          <w:bCs/>
        </w:rPr>
        <w:t>‒</w:t>
      </w:r>
      <w:r>
        <w:t>). Viceversa, una diminuzione dei crediti ↓ e un aumento dei debiti ↑ comportano un incremento di liquidità operativa (</w:t>
      </w:r>
      <w:r>
        <w:rPr>
          <w:b/>
          <w:bCs/>
        </w:rPr>
        <w:t>+</w:t>
      </w:r>
      <w:r>
        <w:t>).</w:t>
      </w:r>
    </w:p>
    <w:p>
      <w:pPr>
        <w:pStyle w:val="BodyText"/>
        <w:ind w:leftChars="0" w:left="0" w:right="0"/>
      </w:pPr>
      <w:r>
        <w:t xml:space="preserve">Il prospetto seguente illustra il dettaglio analitico della voce </w:t>
      </w:r>
      <w:r>
        <w:rPr>
          <w:i/>
          <w:iCs/>
        </w:rPr>
        <w:t>Altre variazioni di capitale circolante netto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99b9d2e70f37a487cbd1b7a33b831c62">
              <w:r>
                <w:rPr>
                  <w:rStyle w:val="Hyperlink"/>
                </w:rPr>
                <w:t>Altre variazioni</w:t>
              </w:r>
            </w:hyperlink>
          </w:p>
        </w:tc>
        <w:tc>
          <w:tcPr>
            <w:cnfStyle w:evenVBand="true" w:oddVBand="false" w:firstColumn="false"/>
            <w:tcW w:w="13.727455%" w:type="pct"/>
          </w:tcPr>
          <w:p>
            <w:pPr>
              <w:pStyle w:val="table-level-1"/>
              <w:ind w:leftChars="0" w:left="0" w:right="0"/>
              <w:keepNext/>
            </w:pPr>
            <w:r>
              <w:t>13,8</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10,7</w:t>
            </w:r>
          </w:p>
        </w:tc>
        <w:tc>
          <w:tcPr>
            <w:cnfStyle w:evenVBand="false" w:oddVBand="true" w:firstColumn="false"/>
            <w:tcW w:w="13.727455%" w:type="pct"/>
          </w:tcPr>
          <w:p>
            <w:pPr>
              <w:pStyle w:val="table-level-1"/>
              <w:ind w:leftChars="0" w:left="0" w:right="0"/>
              <w:keepNext/>
            </w:pPr>
            <w:r>
              <w:t>-26,5</w:t>
            </w:r>
          </w:p>
        </w:tc>
        <w:tc>
          <w:tcPr>
            <w:cnfStyle w:evenVBand="true" w:oddVBand="false" w:firstColumn="false"/>
            <w:tcW w:w="13.727455%" w:type="pct"/>
          </w:tcPr>
          <w:p>
            <w:pPr>
              <w:pStyle w:val="table-level-1"/>
              <w:ind w:leftChars="0" w:left="0" w:right="0"/>
              <w:keepNext/>
            </w:pPr>
            <w:r>
              <w:t>-16,3</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crediti v/altri</w:t>
            </w:r>
          </w:p>
        </w:tc>
        <w:tc>
          <w:tcPr>
            <w:cnfStyle w:evenVBand="true" w:oddVBand="false" w:firstColumn="false"/>
            <w:tcW w:w="13.727455%" w:type="pct"/>
          </w:tcPr>
          <w:p>
            <w:pPr>
              <w:pStyle w:val="table-level-0"/>
              <w:ind w:leftChars="0" w:left="0" w:right="0"/>
              <w:keepNext/>
            </w:pPr>
            <w:r>
              <w:t>3,5</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-1</w:t>
            </w:r>
          </w:p>
        </w:tc>
        <w:tc>
          <w:tcPr>
            <w:cnfStyle w:evenVBand="false" w:oddVBand="true" w:firstColumn="false"/>
            <w:tcW w:w="13.727455%" w:type="pct"/>
          </w:tcPr>
          <w:p>
            <w:pPr>
              <w:pStyle w:val="table-level-0"/>
              <w:ind w:leftChars="0" w:left="0" w:right="0"/>
              <w:keepNext/>
            </w:pPr>
            <w:r>
              <w:t>-1,8</w:t>
            </w:r>
          </w:p>
        </w:tc>
        <w:tc>
          <w:tcPr>
            <w:cnfStyle w:evenVBand="true" w:oddVBand="false" w:firstColumn="false"/>
            <w:tcW w:w="13.727455%" w:type="pct"/>
          </w:tcPr>
          <w:p>
            <w:pPr>
              <w:pStyle w:val="table-level-0"/>
              <w:ind w:leftChars="0" w:left="0" w:right="0"/>
              <w:keepNext/>
            </w:pPr>
            <w:r>
              <w:t>-1,6</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debiti v/altri</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45</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-20</w:t>
            </w:r>
          </w:p>
        </w:tc>
        <w:tc>
          <w:tcPr>
            <w:cnfStyle w:evenVBand="true" w:oddVBand="false" w:firstColumn="false"/>
            <w:tcW w:w="13.727455%" w:type="pct"/>
          </w:tcPr>
          <w:p>
            <w:pPr>
              <w:pStyle w:val="table-level-0"/>
              <w:ind w:leftChars="0" w:left="0" w:right="0"/>
              <w:keepNext/>
            </w:pPr>
            <w:r>
              <w:t>-20</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ratei/risconti attivi</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-1</w:t>
            </w:r>
          </w:p>
        </w:tc>
        <w:tc>
          <w:tcPr>
            <w:cnfStyle w:evenVBand="true" w:oddVBand="false" w:firstColumn="false"/>
            <w:tcW w:w="13.727455%" w:type="pct"/>
          </w:tcPr>
          <w:p>
            <w:pPr>
              <w:pStyle w:val="table-level-0"/>
              <w:ind w:leftChars="0" w:left="0" w:right="0"/>
              <w:keepNext/>
            </w:pPr>
            <w:r>
              <w:t>-1</w:t>
            </w:r>
          </w:p>
        </w:tc>
        <w:tc>
          <w:tcPr>
            <w:cnfStyle w:evenVBand="false" w:oddVBand="true" w:firstColumn="false"/>
            <w:tcW w:w="13.727455%" w:type="pct"/>
          </w:tcPr>
          <w:p>
            <w:pPr>
              <w:pStyle w:val="table-level-0"/>
              <w:ind w:leftChars="0" w:left="0" w:right="0"/>
              <w:keepNext/>
            </w:pPr>
            <w:r>
              <w:t>-0,2</w:t>
            </w:r>
          </w:p>
        </w:tc>
        <w:tc>
          <w:tcPr>
            <w:cnfStyle w:evenVBand="true" w:oddVBand="false" w:firstColumn="false"/>
            <w:tcW w:w="13.727455%" w:type="pct"/>
          </w:tcPr>
          <w:p>
            <w:pPr>
              <w:pStyle w:val="table-level-0"/>
              <w:ind w:leftChars="0" w:left="0" w:right="0"/>
              <w:keepNext/>
            </w:pPr>
            <w:r>
              <w:t>-0,2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ratei/risconti passivi</w:t>
            </w:r>
          </w:p>
        </w:tc>
        <w:tc>
          <w:tcPr>
            <w:cnfStyle w:evenVBand="true" w:oddVBand="false" w:firstColumn="false"/>
            <w:tcW w:w="13.727455%" w:type="pct"/>
          </w:tcPr>
          <w:p>
            <w:pPr>
              <w:pStyle w:val="table-level-0"/>
              <w:ind w:leftChars="0" w:left="0" w:right="0"/>
              <w:keepNext/>
            </w:pPr>
            <w:r>
              <w:t>-2,7</w:t>
            </w:r>
          </w:p>
        </w:tc>
        <w:tc>
          <w:tcPr>
            <w:cnfStyle w:evenVBand="false" w:oddVBand="true" w:firstColumn="false"/>
            <w:tcW w:w="13.727455%" w:type="pct"/>
          </w:tcPr>
          <w:p>
            <w:pPr>
              <w:pStyle w:val="table-level-0"/>
              <w:ind w:leftChars="0" w:left="0" w:right="0"/>
              <w:keepNext/>
            </w:pPr>
            <w:r>
              <w:t>-4</w:t>
            </w:r>
          </w:p>
        </w:tc>
        <w:tc>
          <w:tcPr>
            <w:cnfStyle w:evenVBand="true" w:oddVBand="false" w:firstColumn="false"/>
            <w:tcW w:w="13.727455%" w:type="pct"/>
          </w:tcPr>
          <w:p>
            <w:pPr>
              <w:pStyle w:val="table-level-0"/>
              <w:ind w:leftChars="0" w:left="0" w:right="0"/>
              <w:keepNext/>
            </w:pPr>
            <w:r>
              <w:t>-2,3</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Svalutazioni nell’attivo circolante</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-1,5</w:t>
            </w:r>
          </w:p>
        </w:tc>
      </w:tr>
    </w:tbl>
    <w:p>
      <w:pPr>
        <w:pStyle w:val="TableBottomMargin"/>
      </w:pPr>
    </w:p>
    <w:p>
      <w:pPr>
        <w:pStyle w:val="BodyText"/>
        <w:ind w:leftChars="0" w:left="0" w:right="0"/>
      </w:pPr>
      <w:r>
        <w:t xml:space="preserve">Dal prospetto si evince che al 31 dicembre 2022 la voce </w:t>
      </w:r>
      <w:r>
        <w:rPr>
          <w:i/>
          <w:iCs/>
        </w:rPr>
        <w:t>Altre variazioni di capitale circolante netto</w:t>
      </w:r>
      <w:r>
        <w:t xml:space="preserve"> ha generato liquidità per € 13.800.</w:t>
      </w:r>
    </w:p>
    <w:p>
      <w:pPr>
        <w:pStyle w:val="BodyText"/>
        <w:ind w:leftChars="0" w:left="0" w:right="0"/>
      </w:pPr>
      <w:r>
        <w:t xml:space="preserve">Il grafico seguente mostra l’analisi dell’andamento delle componenti della voce </w:t>
      </w:r>
      <w:r>
        <w:rPr>
          <w:i/>
          <w:iCs/>
        </w:rPr>
        <w:t>Altre variazioni di capitale circolante netto</w:t>
      </w:r>
      <w:r>
        <w:t xml:space="preserve"> dal 31 dicembre 2017 al 31 dicembre 2022. Nel periodo evidenziato, il valore medio è stato pari a € 3.540.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8" name="1ed1c05394d09e8410c9e906917218c8.png" descr="_static/temp/1ed1c05394d09e8410c9e90691721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1ed1c05394d09e8410c9e906917218c8.png" descr="_static/temp/1ed1c05394d09e8410c9e906917218c8.png"/>
                    <pic:cNvPicPr>
                      <a:picLocks noChangeAspect="1" noChangeArrowheads="1"/>
                    </pic:cNvPicPr>
                  </pic:nvPicPr>
                  <pic:blipFill>
                    <a:blip xmlns:r="http://schemas.openxmlformats.org/officeDocument/2006/relationships" r:embed="rId131"/>
                    <a:srcRect/>
                    <a:stretch>
                      <a:fillRect/>
                    </a:stretch>
                  </pic:blipFill>
                  <pic:spPr bwMode="auto">
                    <a:xfrm>
                      <a:off x="0" y="0"/>
                      <a:ext cx="6476365" cy="3266766"/>
                    </a:xfrm>
                    <a:prstGeom prst="rect">
                      <a:avLst/>
                    </a:prstGeom>
                    <a:noFill/>
                  </pic:spPr>
                </pic:pic>
              </a:graphicData>
            </a:graphic>
          </wp:inline>
        </w:drawing>
      </w:r>
    </w:p>
    <w:bookmarkEnd w:id="607"/>
    <w:bookmarkEnd w:id="608"/>
    <w:bookmarkEnd w:id="599"/>
    <w:bookmarkEnd w:id="600"/>
    <w:bookmarkStart w:id="609" w:name="_3bb2329e213bf15758f4b79e27904375"/>
    <w:bookmarkStart w:id="610" w:name="_80ebf7b5f2d7069d36d08250b84ae400"/>
    <w:p>
      <w:pPr>
        <w:pStyle w:val="Heading3"/>
        <w:keepNext/>
      </w:pPr>
      <w:r>
        <w:t>Variazione di fondi per rischi e oneri e per TFR</w:t>
      </w:r>
    </w:p>
    <w:p>
      <w:pPr>
        <w:pStyle w:val="BodyText"/>
        <w:ind w:leftChars="0" w:left="0" w:right="0"/>
      </w:pPr>
      <w:r>
        <w:t xml:space="preserve">La presente sottosezione dei </w:t>
      </w:r>
      <w:hyperlink w:anchor="_76909470d4edd94bb46625707f494450">
        <w:r>
          <w:rPr>
            <w:rStyle w:val="Hyperlink"/>
          </w:rPr>
          <w:t>Flussi di cassa operativi</w:t>
        </w:r>
      </w:hyperlink>
      <w:r>
        <w:t xml:space="preserve"> è dedicata alla variazione di fondi per rischi e oneri e per TFR. Queste rappresentano l’impatto che hanno, sui flussi monetari, l’aumento o la diminuzione di fondi. Un aumento dei fondi è generalmente connesso ad un accantonamento, a rettifica del rispettivo costo nel Conto economico ↑ (</w:t>
      </w:r>
      <w:r>
        <w:rPr>
          <w:b/>
          <w:bCs/>
        </w:rPr>
        <w:t>=</w:t>
      </w:r>
      <w:r>
        <w:t>). Una diminuzione dei fondi è, invece, normalmente connessa ad un utilizzo degli stessi ↓ (</w:t>
      </w:r>
      <w:r>
        <w:rPr>
          <w:b/>
          <w:bCs/>
        </w:rPr>
        <w:t>‒</w:t>
      </w:r>
      <w:r>
        <w:t>).</w:t>
      </w:r>
    </w:p>
    <w:p>
      <w:pPr>
        <w:pStyle w:val="BodyText"/>
        <w:ind w:leftChars="0" w:left="0" w:right="0"/>
      </w:pPr>
      <w:r>
        <w:t xml:space="preserve">Il prospetto seguente illustra il dettaglio analitico della voce </w:t>
      </w:r>
      <w:r>
        <w:rPr>
          <w:i/>
          <w:iCs/>
        </w:rPr>
        <w:t>Variazione di fondi per rischi e oneri e per TFR</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80ebf7b5f2d7069d36d08250b84ae400">
              <w:r>
                <w:rPr>
                  <w:rStyle w:val="Hyperlink"/>
                </w:rPr>
                <w:t>Variazione di fondi</w:t>
              </w:r>
            </w:hyperlink>
          </w:p>
        </w:tc>
        <w:tc>
          <w:tcPr>
            <w:cnfStyle w:evenVBand="true" w:oddVBand="false" w:firstColumn="false"/>
            <w:tcW w:w="13.727455%" w:type="pct"/>
          </w:tcPr>
          <w:p>
            <w:pPr>
              <w:pStyle w:val="table-level-1"/>
              <w:ind w:leftChars="0" w:left="0" w:right="0"/>
              <w:keepNext/>
            </w:pPr>
            <w:r>
              <w:t>115</w:t>
            </w:r>
          </w:p>
        </w:tc>
        <w:tc>
          <w:tcPr>
            <w:cnfStyle w:evenVBand="false" w:oddVBand="true" w:firstColumn="false"/>
            <w:tcW w:w="13.727455%" w:type="pct"/>
          </w:tcPr>
          <w:p>
            <w:pPr>
              <w:pStyle w:val="table-level-1"/>
              <w:ind w:leftChars="0" w:left="0" w:right="0"/>
              <w:keepNext/>
            </w:pPr>
            <w:r>
              <w:t>95</w:t>
            </w:r>
          </w:p>
        </w:tc>
        <w:tc>
          <w:tcPr>
            <w:cnfStyle w:evenVBand="true" w:oddVBand="false" w:firstColumn="false"/>
            <w:tcW w:w="13.727455%" w:type="pct"/>
          </w:tcPr>
          <w:p>
            <w:pPr>
              <w:pStyle w:val="table-level-1"/>
              <w:ind w:leftChars="0" w:left="0" w:right="0"/>
              <w:keepNext/>
            </w:pPr>
            <w:r>
              <w:t>100</w:t>
            </w:r>
          </w:p>
        </w:tc>
        <w:tc>
          <w:tcPr>
            <w:cnfStyle w:evenVBand="false" w:oddVBand="true" w:firstColumn="false"/>
            <w:tcW w:w="13.727455%" w:type="pct"/>
          </w:tcPr>
          <w:p>
            <w:pPr>
              <w:pStyle w:val="table-level-1"/>
              <w:ind w:leftChars="0" w:left="0" w:right="0"/>
              <w:keepNext/>
            </w:pPr>
            <w:r>
              <w:t>25</w:t>
            </w:r>
          </w:p>
        </w:tc>
        <w:tc>
          <w:tcPr>
            <w:cnfStyle w:evenVBand="true" w:oddVBand="false" w:firstColumn="false"/>
            <w:tcW w:w="13.727455%" w:type="pct"/>
          </w:tcPr>
          <w:p>
            <w:pPr>
              <w:pStyle w:val="table-level-1"/>
              <w:ind w:leftChars="0" w:left="0" w:right="0"/>
              <w:keepNext/>
            </w:pPr>
            <w:r>
              <w:t>-7</w:t>
            </w:r>
          </w:p>
        </w:tc>
      </w:tr>
    </w:tbl>
    <w:p>
      <w:pPr>
        <w:pStyle w:val="TableBottomMargin"/>
      </w:pPr>
    </w:p>
    <w:p>
      <w:pPr>
        <w:pStyle w:val="BodyText"/>
        <w:ind w:leftChars="0" w:left="0" w:right="0"/>
      </w:pPr>
      <w:r>
        <w:t xml:space="preserve">Dal prospetto si evince che al 31 dicembre 2022 la voce </w:t>
      </w:r>
      <w:r>
        <w:rPr>
          <w:i/>
          <w:iCs/>
        </w:rPr>
        <w:t>Variazione di fondi per rischi e oneri e per TFR</w:t>
      </w:r>
      <w:r>
        <w:t xml:space="preserve"> ha generato liquidità per € 115.000.</w:t>
      </w:r>
    </w:p>
    <w:p>
      <w:pPr>
        <w:pStyle w:val="BodyText"/>
        <w:ind w:leftChars="0" w:left="0" w:right="0"/>
      </w:pPr>
      <w:r>
        <w:t xml:space="preserve">Il grafico seguente mostra l’analisi dell’andamento della voce </w:t>
      </w:r>
      <w:r>
        <w:rPr>
          <w:i/>
          <w:iCs/>
        </w:rPr>
        <w:t>Variazione di fondi per rischi e oneri e per TFR</w:t>
      </w:r>
      <w:r>
        <w:t xml:space="preserve"> dal 31 dicembre 2017 al 31 dicembre 2022. Nel periodo evidenziato, il valore medio è stato pari a € 65.600.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09" name="fb63cc2ad1d75fb3f62d6f7785478f23.png" descr="_static/temp/fb63cc2ad1d75fb3f62d6f7785478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fb63cc2ad1d75fb3f62d6f7785478f23.png" descr="_static/temp/fb63cc2ad1d75fb3f62d6f7785478f23.png"/>
                    <pic:cNvPicPr>
                      <a:picLocks noChangeAspect="1" noChangeArrowheads="1"/>
                    </pic:cNvPicPr>
                  </pic:nvPicPr>
                  <pic:blipFill>
                    <a:blip xmlns:r="http://schemas.openxmlformats.org/officeDocument/2006/relationships" r:embed="rId132"/>
                    <a:srcRect/>
                    <a:stretch>
                      <a:fillRect/>
                    </a:stretch>
                  </pic:blipFill>
                  <pic:spPr bwMode="auto">
                    <a:xfrm>
                      <a:off x="0" y="0"/>
                      <a:ext cx="6476365" cy="3266766"/>
                    </a:xfrm>
                    <a:prstGeom prst="rect">
                      <a:avLst/>
                    </a:prstGeom>
                    <a:noFill/>
                  </pic:spPr>
                </pic:pic>
              </a:graphicData>
            </a:graphic>
          </wp:inline>
        </w:drawing>
      </w:r>
    </w:p>
    <w:bookmarkEnd w:id="609"/>
    <w:bookmarkEnd w:id="610"/>
    <w:bookmarkStart w:id="611" w:name="_98f90d0773446352d676b63da1fdd3c8"/>
    <w:bookmarkStart w:id="612" w:name="_92b03bd388110428e77863720e388821"/>
    <w:p>
      <w:pPr>
        <w:pStyle w:val="Heading3"/>
        <w:keepNext/>
      </w:pPr>
      <w:r>
        <w:t>Flussi di cassa derivanti da investimenti operativi</w:t>
      </w:r>
    </w:p>
    <w:p>
      <w:pPr>
        <w:pStyle w:val="BodyText"/>
        <w:ind w:leftChars="0" w:left="0" w:right="0"/>
      </w:pPr>
      <w:r>
        <w:t xml:space="preserve">La presente sottosezione dei </w:t>
      </w:r>
      <w:hyperlink w:anchor="_76909470d4edd94bb46625707f494450">
        <w:r>
          <w:rPr>
            <w:rStyle w:val="Hyperlink"/>
          </w:rPr>
          <w:t>Flussi di cassa operativi</w:t>
        </w:r>
      </w:hyperlink>
      <w:r>
        <w:t xml:space="preserve"> è dedicata ai flussi di cassa derivanti da investimenti operativi. La voce comprende anche eventuali rettifiche volte a depurare l’effetto di svalutazioni economiche. Questi rappresentano flussi monetari assorbiti o generati, rispettivamente, dall’investimento o dalla dismissione di immobilizzazioni di natura operativa. Un aumento delle immobilizzazioni testimonia, quindi, una riduzione di liquidità ↑ (</w:t>
      </w:r>
      <w:r>
        <w:rPr>
          <w:b/>
          <w:bCs/>
        </w:rPr>
        <w:t>‒</w:t>
      </w:r>
      <w:r>
        <w:t>). Una diminuzione delle immobilizzazioni testimonia, invece, un incremento di liquidità ↓ (</w:t>
      </w:r>
      <w:r>
        <w:rPr>
          <w:b/>
          <w:bCs/>
        </w:rPr>
        <w:t>+</w:t>
      </w:r>
      <w:r>
        <w:t>).</w:t>
      </w:r>
    </w:p>
    <w:p>
      <w:pPr>
        <w:pStyle w:val="BodyText"/>
        <w:ind w:leftChars="0" w:left="0" w:right="0"/>
      </w:pPr>
      <w:r>
        <w:t xml:space="preserve">Il prospetto seguente illustra il dettaglio analitico della voce </w:t>
      </w:r>
      <w:r>
        <w:rPr>
          <w:i/>
          <w:iCs/>
        </w:rPr>
        <w:t>Flussi di cassa derivanti da investimenti operativi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92b03bd388110428e77863720e388821">
              <w:r>
                <w:rPr>
                  <w:rStyle w:val="Hyperlink"/>
                </w:rPr>
                <w:t>Flussi investimenti operativi</w:t>
              </w:r>
            </w:hyperlink>
          </w:p>
        </w:tc>
        <w:tc>
          <w:tcPr>
            <w:cnfStyle w:evenVBand="true" w:oddVBand="false" w:firstColumn="false"/>
            <w:tcW w:w="13.727455%" w:type="pct"/>
          </w:tcPr>
          <w:p>
            <w:pPr>
              <w:pStyle w:val="table-level-1"/>
              <w:ind w:leftChars="0" w:left="0" w:right="0"/>
              <w:keepNext/>
            </w:pPr>
            <w:r>
              <w:t>-1.403</w:t>
            </w:r>
          </w:p>
        </w:tc>
        <w:tc>
          <w:tcPr>
            <w:cnfStyle w:evenVBand="false" w:oddVBand="true" w:firstColumn="false"/>
            <w:tcW w:w="13.727455%" w:type="pct"/>
          </w:tcPr>
          <w:p>
            <w:pPr>
              <w:pStyle w:val="table-level-1"/>
              <w:ind w:leftChars="0" w:left="0" w:right="0"/>
              <w:keepNext/>
            </w:pPr>
            <w:r>
              <w:t>-1.720</w:t>
            </w:r>
          </w:p>
        </w:tc>
        <w:tc>
          <w:tcPr>
            <w:cnfStyle w:evenVBand="true" w:oddVBand="false" w:firstColumn="false"/>
            <w:tcW w:w="13.727455%" w:type="pct"/>
          </w:tcPr>
          <w:p>
            <w:pPr>
              <w:pStyle w:val="table-level-1"/>
              <w:ind w:leftChars="0" w:left="0" w:right="0"/>
              <w:keepNext/>
            </w:pPr>
            <w:r>
              <w:t>-523</w:t>
            </w:r>
          </w:p>
        </w:tc>
        <w:tc>
          <w:tcPr>
            <w:cnfStyle w:evenVBand="false" w:oddVBand="true" w:firstColumn="false"/>
            <w:tcW w:w="13.727455%" w:type="pct"/>
          </w:tcPr>
          <w:p>
            <w:pPr>
              <w:pStyle w:val="table-level-1"/>
              <w:ind w:leftChars="0" w:left="0" w:right="0"/>
              <w:keepNext/>
            </w:pPr>
            <w:r>
              <w:t>-925</w:t>
            </w:r>
          </w:p>
        </w:tc>
        <w:tc>
          <w:tcPr>
            <w:cnfStyle w:evenVBand="true" w:oddVBand="false" w:firstColumn="false"/>
            <w:tcW w:w="13.727455%" w:type="pct"/>
          </w:tcPr>
          <w:p>
            <w:pPr>
              <w:pStyle w:val="table-level-1"/>
              <w:ind w:leftChars="0" w:left="0" w:right="0"/>
              <w:keepNext/>
            </w:pPr>
            <w:r>
              <w:t>-757</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immob. immateriali</w:t>
            </w:r>
          </w:p>
        </w:tc>
        <w:tc>
          <w:tcPr>
            <w:cnfStyle w:evenVBand="true" w:oddVBand="false" w:firstColumn="false"/>
            <w:tcW w:w="13.727455%" w:type="pct"/>
          </w:tcPr>
          <w:p>
            <w:pPr>
              <w:pStyle w:val="table-level-0"/>
              <w:ind w:leftChars="0" w:left="0" w:right="0"/>
              <w:keepNext/>
            </w:pPr>
            <w:r>
              <w:t>-73</w:t>
            </w:r>
          </w:p>
        </w:tc>
        <w:tc>
          <w:tcPr>
            <w:cnfStyle w:evenVBand="false" w:oddVBand="true" w:firstColumn="false"/>
            <w:tcW w:w="13.727455%" w:type="pct"/>
          </w:tcPr>
          <w:p>
            <w:pPr>
              <w:pStyle w:val="table-level-0"/>
              <w:ind w:leftChars="0" w:left="0" w:right="0"/>
              <w:keepNext/>
            </w:pPr>
            <w:r>
              <w:t>-38,5</w:t>
            </w:r>
          </w:p>
        </w:tc>
        <w:tc>
          <w:tcPr>
            <w:cnfStyle w:evenVBand="true" w:oddVBand="false" w:firstColumn="false"/>
            <w:tcW w:w="13.727455%" w:type="pct"/>
          </w:tcPr>
          <w:p>
            <w:pPr>
              <w:pStyle w:val="table-level-0"/>
              <w:ind w:leftChars="0" w:left="0" w:right="0"/>
              <w:keepNext/>
            </w:pPr>
            <w:r>
              <w:t>-78</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-10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immob. materiali</w:t>
            </w:r>
          </w:p>
        </w:tc>
        <w:tc>
          <w:tcPr>
            <w:cnfStyle w:evenVBand="true" w:oddVBand="false" w:firstColumn="false"/>
            <w:tcW w:w="13.727455%" w:type="pct"/>
          </w:tcPr>
          <w:p>
            <w:pPr>
              <w:pStyle w:val="table-level-0"/>
              <w:ind w:leftChars="0" w:left="0" w:right="0"/>
              <w:keepNext/>
            </w:pPr>
            <w:r>
              <w:t>-1.328</w:t>
            </w:r>
          </w:p>
        </w:tc>
        <w:tc>
          <w:tcPr>
            <w:cnfStyle w:evenVBand="false" w:oddVBand="true" w:firstColumn="false"/>
            <w:tcW w:w="13.727455%" w:type="pct"/>
          </w:tcPr>
          <w:p>
            <w:pPr>
              <w:pStyle w:val="table-level-0"/>
              <w:ind w:leftChars="0" w:left="0" w:right="0"/>
              <w:keepNext/>
            </w:pPr>
            <w:r>
              <w:t>-1.681</w:t>
            </w:r>
          </w:p>
        </w:tc>
        <w:tc>
          <w:tcPr>
            <w:cnfStyle w:evenVBand="true" w:oddVBand="false" w:firstColumn="false"/>
            <w:tcW w:w="13.727455%" w:type="pct"/>
          </w:tcPr>
          <w:p>
            <w:pPr>
              <w:pStyle w:val="table-level-0"/>
              <w:ind w:leftChars="0" w:left="0" w:right="0"/>
              <w:keepNext/>
            </w:pPr>
            <w:r>
              <w:t>-443,5</w:t>
            </w:r>
          </w:p>
        </w:tc>
        <w:tc>
          <w:tcPr>
            <w:cnfStyle w:evenVBand="false" w:oddVBand="true" w:firstColumn="false"/>
            <w:tcW w:w="13.727455%" w:type="pct"/>
          </w:tcPr>
          <w:p>
            <w:pPr>
              <w:pStyle w:val="table-level-0"/>
              <w:ind w:leftChars="0" w:left="0" w:right="0"/>
              <w:keepNext/>
            </w:pPr>
            <w:r>
              <w:t>-900</w:t>
            </w:r>
          </w:p>
        </w:tc>
        <w:tc>
          <w:tcPr>
            <w:cnfStyle w:evenVBand="true" w:oddVBand="false" w:firstColumn="false"/>
            <w:tcW w:w="13.727455%" w:type="pct"/>
          </w:tcPr>
          <w:p>
            <w:pPr>
              <w:pStyle w:val="table-level-0"/>
              <w:ind w:leftChars="0" w:left="0" w:right="0"/>
              <w:keepNext/>
            </w:pPr>
            <w:r>
              <w:t>-745</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Svalutazioni di immobilizzazioni</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-2</w:t>
            </w:r>
          </w:p>
        </w:tc>
      </w:tr>
    </w:tbl>
    <w:p>
      <w:pPr>
        <w:pStyle w:val="TableBottomMargin"/>
      </w:pPr>
    </w:p>
    <w:p>
      <w:pPr>
        <w:pStyle w:val="BodyText"/>
        <w:ind w:leftChars="0" w:left="0" w:right="0"/>
      </w:pPr>
      <w:r>
        <w:t xml:space="preserve">Dal prospetto si evince che al 31 dicembre 2022 la voce </w:t>
      </w:r>
      <w:r>
        <w:rPr>
          <w:i/>
          <w:iCs/>
        </w:rPr>
        <w:t>Flussi di cassa derivanti da investimenti operativi</w:t>
      </w:r>
      <w:r>
        <w:t xml:space="preserve"> ha assorbito liquidità per € -1.403.420.</w:t>
      </w:r>
    </w:p>
    <w:p>
      <w:pPr>
        <w:pStyle w:val="BodyText"/>
        <w:ind w:leftChars="0" w:left="0" w:right="0"/>
      </w:pPr>
      <w:r>
        <w:t xml:space="preserve">Il grafico seguente mostra l’analisi dell’andamento delle componenti della voce </w:t>
      </w:r>
      <w:r>
        <w:rPr>
          <w:i/>
          <w:iCs/>
        </w:rPr>
        <w:t>Flussi di cassa derivanti da investimenti operativi</w:t>
      </w:r>
      <w:r>
        <w:t xml:space="preserve"> dal 31 dicembre 2017 al 31 dicembre 2022. Nel periodo evidenziato, il valore medio è stato pari a € -1.065.584.</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0" name="bdc86cb0a2989ae9752f96ccf51331f5.png" descr="_static/temp/bdc86cb0a2989ae9752f96ccf51331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bdc86cb0a2989ae9752f96ccf51331f5.png" descr="_static/temp/bdc86cb0a2989ae9752f96ccf51331f5.png"/>
                    <pic:cNvPicPr>
                      <a:picLocks noChangeAspect="1" noChangeArrowheads="1"/>
                    </pic:cNvPicPr>
                  </pic:nvPicPr>
                  <pic:blipFill>
                    <a:blip xmlns:r="http://schemas.openxmlformats.org/officeDocument/2006/relationships" r:embed="rId133"/>
                    <a:srcRect/>
                    <a:stretch>
                      <a:fillRect/>
                    </a:stretch>
                  </pic:blipFill>
                  <pic:spPr bwMode="auto">
                    <a:xfrm>
                      <a:off x="0" y="0"/>
                      <a:ext cx="6476365" cy="3266766"/>
                    </a:xfrm>
                    <a:prstGeom prst="rect">
                      <a:avLst/>
                    </a:prstGeom>
                    <a:noFill/>
                  </pic:spPr>
                </pic:pic>
              </a:graphicData>
            </a:graphic>
          </wp:inline>
        </w:drawing>
      </w:r>
    </w:p>
    <w:br w:type="page"/>
    <w:bookmarkEnd w:id="611"/>
    <w:bookmarkEnd w:id="612"/>
    <w:bookmarkEnd w:id="597"/>
    <w:bookmarkEnd w:id="598"/>
    <w:bookmarkStart w:id="613" w:name="_8b1460a54f2e9d4366c0d8d728c1a7bc"/>
    <w:bookmarkStart w:id="614" w:name="_4a20a1ea8a5feabb92712a0d88921694"/>
    <w:p>
      <w:pPr>
        <w:pStyle w:val="Heading2"/>
        <w:keepNext/>
      </w:pPr>
      <w:r>
        <w:t>Flussi disponibili per il servizio del debito</w:t>
      </w:r>
    </w:p>
    <w:p>
      <w:pPr>
        <w:pStyle w:val="BodyText"/>
        <w:ind w:leftChars="0" w:left="0" w:right="0"/>
      </w:pPr>
      <w:r>
        <w:t xml:space="preserve">La presente sottosezione del </w:t>
      </w:r>
      <w:hyperlink w:anchor="_be9dd59504b6581d5cad29d60c714237">
        <w:r>
          <w:rPr>
            <w:rStyle w:val="Hyperlink"/>
          </w:rPr>
          <w:t>Rendiconto finanziario</w:t>
        </w:r>
      </w:hyperlink>
      <w:r>
        <w:t xml:space="preserve"> è dedicata ai flussi di cassa disponibili per il servizio del debito. Questi rappresentano flussi monetari che residuano dalla gestione operativa e finanziaria per il sostenimento di debiti e oneri finanziari.</w:t>
      </w:r>
    </w:p>
    <w:p>
      <w:pPr>
        <w:pStyle w:val="BodyText"/>
        <w:ind w:leftChars="0" w:left="0" w:right="0"/>
      </w:pPr>
      <w:r>
        <w:t xml:space="preserve">Il prospetto seguente illustra il dettaglio analitico delle determinanti della voce </w:t>
      </w:r>
      <w:r>
        <w:rPr>
          <w:i/>
          <w:iCs/>
        </w:rPr>
        <w:t>Flussi di cassa disponibili per il servizio del debito</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76909470d4edd94bb46625707f494450">
              <w:r>
                <w:rPr>
                  <w:rStyle w:val="Hyperlink"/>
                </w:rPr>
                <w:t>Flussi di cassa operativi</w:t>
              </w:r>
            </w:hyperlink>
          </w:p>
        </w:tc>
        <w:tc>
          <w:tcPr>
            <w:cnfStyle w:evenVBand="true" w:oddVBand="false" w:firstColumn="false"/>
            <w:tcW w:w="13.727455%" w:type="pct"/>
          </w:tcPr>
          <w:p>
            <w:pPr>
              <w:pStyle w:val="table-level-300"/>
              <w:ind w:leftChars="0" w:left="0" w:right="0"/>
              <w:keepNext/>
            </w:pPr>
            <w:r>
              <w:t>41,9</w:t>
            </w:r>
          </w:p>
        </w:tc>
        <w:tc>
          <w:tcPr>
            <w:cnfStyle w:evenVBand="false" w:oddVBand="true" w:firstColumn="false"/>
            <w:tcW w:w="13.727455%" w:type="pct"/>
          </w:tcPr>
          <w:p>
            <w:pPr>
              <w:pStyle w:val="table-level-300"/>
              <w:ind w:leftChars="0" w:left="0" w:right="0"/>
              <w:keepNext/>
            </w:pPr>
            <w:r>
              <w:t>-217,3</w:t>
            </w:r>
          </w:p>
        </w:tc>
        <w:tc>
          <w:tcPr>
            <w:cnfStyle w:evenVBand="true" w:oddVBand="false" w:firstColumn="false"/>
            <w:tcW w:w="13.727455%" w:type="pct"/>
          </w:tcPr>
          <w:p>
            <w:pPr>
              <w:pStyle w:val="table-level-300"/>
              <w:ind w:leftChars="0" w:left="0" w:right="0"/>
              <w:keepNext/>
            </w:pPr>
            <w:r>
              <w:t>804,3</w:t>
            </w:r>
          </w:p>
        </w:tc>
        <w:tc>
          <w:tcPr>
            <w:cnfStyle w:evenVBand="false" w:oddVBand="true" w:firstColumn="false"/>
            <w:tcW w:w="13.727455%" w:type="pct"/>
          </w:tcPr>
          <w:p>
            <w:pPr>
              <w:pStyle w:val="table-level-300"/>
              <w:ind w:leftChars="0" w:left="0" w:right="0"/>
              <w:keepNext/>
            </w:pPr>
            <w:r>
              <w:t>268,1</w:t>
            </w:r>
          </w:p>
        </w:tc>
        <w:tc>
          <w:tcPr>
            <w:cnfStyle w:evenVBand="true" w:oddVBand="false" w:firstColumn="false"/>
            <w:tcW w:w="13.727455%" w:type="pct"/>
          </w:tcPr>
          <w:p>
            <w:pPr>
              <w:pStyle w:val="table-level-300"/>
              <w:ind w:leftChars="0" w:left="0" w:right="0"/>
              <w:keepNext/>
            </w:pPr>
            <w:r>
              <w:t>230,8</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Flussi attività finanziarie</w:t>
            </w:r>
          </w:p>
        </w:tc>
        <w:tc>
          <w:tcPr>
            <w:cnfStyle w:evenVBand="true" w:oddVBand="false" w:firstColumn="false"/>
            <w:tcW w:w="13.727455%" w:type="pct"/>
          </w:tcPr>
          <w:p>
            <w:pPr>
              <w:pStyle w:val="table-level-1"/>
              <w:ind w:leftChars="0" w:left="0" w:right="0"/>
              <w:keepNext/>
            </w:pPr>
            <w:r>
              <w:t>5</w:t>
            </w:r>
          </w:p>
        </w:tc>
        <w:tc>
          <w:tcPr>
            <w:cnfStyle w:evenVBand="false" w:oddVBand="true" w:firstColumn="false"/>
            <w:tcW w:w="13.727455%" w:type="pct"/>
          </w:tcPr>
          <w:p>
            <w:pPr>
              <w:pStyle w:val="table-level-1"/>
              <w:ind w:leftChars="0" w:left="0" w:right="0"/>
              <w:keepNext/>
            </w:pPr>
            <w:r>
              <w:t>16</w:t>
            </w:r>
          </w:p>
        </w:tc>
        <w:tc>
          <w:tcPr>
            <w:cnfStyle w:evenVBand="true" w:oddVBand="false" w:firstColumn="false"/>
            <w:tcW w:w="13.727455%" w:type="pct"/>
          </w:tcPr>
          <w:p>
            <w:pPr>
              <w:pStyle w:val="table-level-1"/>
              <w:ind w:leftChars="0" w:left="0" w:right="0"/>
              <w:keepNext/>
            </w:pPr>
            <w:r>
              <w:t>15,1</w:t>
            </w:r>
          </w:p>
        </w:tc>
        <w:tc>
          <w:tcPr>
            <w:cnfStyle w:evenVBand="false" w:oddVBand="true" w:firstColumn="false"/>
            <w:tcW w:w="13.727455%" w:type="pct"/>
          </w:tcPr>
          <w:p>
            <w:pPr>
              <w:pStyle w:val="table-level-1"/>
              <w:ind w:leftChars="0" w:left="0" w:right="0"/>
              <w:keepNext/>
            </w:pPr>
            <w:r>
              <w:t>8,1</w:t>
            </w:r>
          </w:p>
        </w:tc>
        <w:tc>
          <w:tcPr>
            <w:cnfStyle w:evenVBand="true" w:oddVBand="false" w:firstColumn="false"/>
            <w:tcW w:w="13.727455%" w:type="pct"/>
          </w:tcPr>
          <w:p>
            <w:pPr>
              <w:pStyle w:val="table-level-1"/>
              <w:ind w:leftChars="0" w:left="0" w:right="0"/>
              <w:keepNext/>
            </w:pPr>
            <w:r>
              <w:t>25,2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8d641bd68512920159375a8042dce5c2">
              <w:r>
                <w:rPr>
                  <w:rStyle w:val="Hyperlink"/>
                </w:rPr>
                <w:t>Proventi finanziari</w:t>
              </w:r>
            </w:hyperlink>
          </w:p>
        </w:tc>
        <w:tc>
          <w:tcPr>
            <w:cnfStyle w:evenVBand="true" w:oddVBand="false" w:firstColumn="false"/>
            <w:tcW w:w="13.727455%" w:type="pct"/>
          </w:tcPr>
          <w:p>
            <w:pPr>
              <w:pStyle w:val="table-level-0"/>
              <w:ind w:leftChars="0" w:left="0" w:right="0"/>
              <w:keepNext/>
            </w:pPr>
            <w:r>
              <w:t>11</w:t>
            </w:r>
          </w:p>
        </w:tc>
        <w:tc>
          <w:tcPr>
            <w:cnfStyle w:evenVBand="false" w:oddVBand="true" w:firstColumn="false"/>
            <w:tcW w:w="13.727455%" w:type="pct"/>
          </w:tcPr>
          <w:p>
            <w:pPr>
              <w:pStyle w:val="table-level-0"/>
              <w:ind w:leftChars="0" w:left="0" w:right="0"/>
              <w:keepNext/>
            </w:pPr>
            <w:r>
              <w:t>13,3</w:t>
            </w:r>
          </w:p>
        </w:tc>
        <w:tc>
          <w:tcPr>
            <w:cnfStyle w:evenVBand="true" w:oddVBand="false" w:firstColumn="false"/>
            <w:tcW w:w="13.727455%" w:type="pct"/>
          </w:tcPr>
          <w:p>
            <w:pPr>
              <w:pStyle w:val="table-level-0"/>
              <w:ind w:leftChars="0" w:left="0" w:right="0"/>
              <w:keepNext/>
            </w:pPr>
            <w:r>
              <w:t>11,5</w:t>
            </w:r>
          </w:p>
        </w:tc>
        <w:tc>
          <w:tcPr>
            <w:cnfStyle w:evenVBand="false" w:oddVBand="true" w:firstColumn="false"/>
            <w:tcW w:w="13.727455%" w:type="pct"/>
          </w:tcPr>
          <w:p>
            <w:pPr>
              <w:pStyle w:val="table-level-0"/>
              <w:ind w:leftChars="0" w:left="0" w:right="0"/>
              <w:keepNext/>
            </w:pPr>
            <w:r>
              <w:t>10,2</w:t>
            </w:r>
          </w:p>
        </w:tc>
        <w:tc>
          <w:tcPr>
            <w:cnfStyle w:evenVBand="true" w:oddVBand="false" w:firstColumn="false"/>
            <w:tcW w:w="13.727455%" w:type="pct"/>
          </w:tcPr>
          <w:p>
            <w:pPr>
              <w:pStyle w:val="table-level-0"/>
              <w:ind w:leftChars="0" w:left="0" w:right="0"/>
              <w:keepNext/>
            </w:pPr>
            <w:r>
              <w:t>15,2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831cb6e789be9f18a9804616db63ed25">
              <w:r>
                <w:rPr>
                  <w:rStyle w:val="Hyperlink"/>
                </w:rPr>
                <w:t>Var. attività finanziarie</w:t>
              </w:r>
            </w:hyperlink>
          </w:p>
        </w:tc>
        <w:tc>
          <w:tcPr>
            <w:cnfStyle w:evenVBand="true" w:oddVBand="false" w:firstColumn="false"/>
            <w:tcW w:w="13.727455%" w:type="pct"/>
          </w:tcPr>
          <w:p>
            <w:pPr>
              <w:pStyle w:val="table-level-0"/>
              <w:ind w:leftChars="0" w:left="0" w:right="0"/>
              <w:keepNext/>
            </w:pPr>
            <w:r>
              <w:t>-11,2</w:t>
            </w:r>
          </w:p>
        </w:tc>
        <w:tc>
          <w:tcPr>
            <w:cnfStyle w:evenVBand="false" w:oddVBand="true" w:firstColumn="false"/>
            <w:tcW w:w="13.727455%" w:type="pct"/>
          </w:tcPr>
          <w:p>
            <w:pPr>
              <w:pStyle w:val="table-level-0"/>
              <w:ind w:leftChars="0" w:left="0" w:right="0"/>
              <w:keepNext/>
            </w:pPr>
            <w:r>
              <w:t>0,95</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-3,6</w:t>
            </w:r>
          </w:p>
        </w:tc>
        <w:tc>
          <w:tcPr>
            <w:cnfStyle w:evenVBand="true" w:oddVBand="false" w:firstColumn="false"/>
            <w:tcW w:w="13.727455%" w:type="pct"/>
          </w:tcPr>
          <w:p>
            <w:pPr>
              <w:pStyle w:val="table-level-0"/>
              <w:ind w:leftChars="0" w:left="0" w:right="0"/>
              <w:keepNext/>
            </w:pPr>
            <w:r>
              <w:t>4,2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d2b102cde39ff330544243511b5a7889">
              <w:r>
                <w:rPr>
                  <w:rStyle w:val="Hyperlink"/>
                </w:rPr>
                <w:t>Riv./svalutazioni finanziarie</w:t>
              </w:r>
            </w:hyperlink>
          </w:p>
        </w:tc>
        <w:tc>
          <w:tcPr>
            <w:cnfStyle w:evenVBand="true" w:oddVBand="false" w:firstColumn="false"/>
            <w:tcW w:w="13.727455%" w:type="pct"/>
          </w:tcPr>
          <w:p>
            <w:pPr>
              <w:pStyle w:val="table-level-0"/>
              <w:ind w:leftChars="0" w:left="0" w:right="0"/>
              <w:keepNext/>
            </w:pPr>
            <w:r>
              <w:t>1,3</w:t>
            </w:r>
          </w:p>
        </w:tc>
        <w:tc>
          <w:tcPr>
            <w:cnfStyle w:evenVBand="false" w:oddVBand="true" w:firstColumn="false"/>
            <w:tcW w:w="13.727455%" w:type="pct"/>
          </w:tcPr>
          <w:p>
            <w:pPr>
              <w:pStyle w:val="table-level-0"/>
              <w:ind w:leftChars="0" w:left="0" w:right="0"/>
              <w:keepNext/>
            </w:pPr>
            <w:r>
              <w:t>-2,1</w:t>
            </w:r>
          </w:p>
        </w:tc>
        <w:tc>
          <w:tcPr>
            <w:cnfStyle w:evenVBand="true" w:oddVBand="false" w:firstColumn="false"/>
            <w:tcW w:w="13.727455%" w:type="pct"/>
          </w:tcPr>
          <w:p>
            <w:pPr>
              <w:pStyle w:val="table-level-0"/>
              <w:ind w:leftChars="0" w:left="0" w:right="0"/>
              <w:keepNext/>
            </w:pPr>
            <w:r>
              <w:t>-1,3</w:t>
            </w:r>
          </w:p>
        </w:tc>
        <w:tc>
          <w:tcPr>
            <w:cnfStyle w:evenVBand="false" w:oddVBand="true" w:firstColumn="false"/>
            <w:tcW w:w="13.727455%" w:type="pct"/>
          </w:tcPr>
          <w:p>
            <w:pPr>
              <w:pStyle w:val="table-level-0"/>
              <w:ind w:leftChars="0" w:left="0" w:right="0"/>
              <w:keepNext/>
            </w:pPr>
            <w:r>
              <w:t>-1,2</w:t>
            </w:r>
          </w:p>
        </w:tc>
        <w:tc>
          <w:tcPr>
            <w:cnfStyle w:evenVBand="true" w:oddVBand="false" w:firstColumn="false"/>
            <w:tcW w:w="13.727455%" w:type="pct"/>
          </w:tcPr>
          <w:p>
            <w:pPr>
              <w:pStyle w:val="table-level-0"/>
              <w:ind w:leftChars="0" w:left="0" w:right="0"/>
              <w:keepNext/>
            </w:pPr>
            <w:r>
              <w:t>1,5</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5cb5ecdd803b361f7319bd4568496d4f">
              <w:r>
                <w:rPr>
                  <w:rStyle w:val="Hyperlink"/>
                </w:rPr>
                <w:t>Utili/perdite su cambi</w:t>
              </w:r>
            </w:hyperlink>
          </w:p>
        </w:tc>
        <w:tc>
          <w:tcPr>
            <w:cnfStyle w:evenVBand="true" w:oddVBand="false" w:firstColumn="false"/>
            <w:tcW w:w="13.727455%" w:type="pct"/>
          </w:tcPr>
          <w:p>
            <w:pPr>
              <w:pStyle w:val="table-level-0"/>
              <w:ind w:leftChars="0" w:left="0" w:right="0"/>
              <w:keepNext/>
            </w:pPr>
            <w:r>
              <w:t>3,9</w:t>
            </w:r>
          </w:p>
        </w:tc>
        <w:tc>
          <w:tcPr>
            <w:cnfStyle w:evenVBand="false" w:oddVBand="true" w:firstColumn="false"/>
            <w:tcW w:w="13.727455%" w:type="pct"/>
          </w:tcPr>
          <w:p>
            <w:pPr>
              <w:pStyle w:val="table-level-0"/>
              <w:ind w:leftChars="0" w:left="0" w:right="0"/>
              <w:keepNext/>
            </w:pPr>
            <w:r>
              <w:t>3,8</w:t>
            </w:r>
          </w:p>
        </w:tc>
        <w:tc>
          <w:tcPr>
            <w:cnfStyle w:evenVBand="true" w:oddVBand="false" w:firstColumn="false"/>
            <w:tcW w:w="13.727455%" w:type="pct"/>
          </w:tcPr>
          <w:p>
            <w:pPr>
              <w:pStyle w:val="table-level-0"/>
              <w:ind w:leftChars="0" w:left="0" w:right="0"/>
              <w:keepNext/>
            </w:pPr>
            <w:r>
              <w:t>2,9</w:t>
            </w:r>
          </w:p>
        </w:tc>
        <w:tc>
          <w:tcPr>
            <w:cnfStyle w:evenVBand="false" w:oddVBand="true" w:firstColumn="false"/>
            <w:tcW w:w="13.727455%" w:type="pct"/>
          </w:tcPr>
          <w:p>
            <w:pPr>
              <w:pStyle w:val="table-level-0"/>
              <w:ind w:leftChars="0" w:left="0" w:right="0"/>
              <w:keepNext/>
            </w:pPr>
            <w:r>
              <w:t>2,7</w:t>
            </w:r>
          </w:p>
        </w:tc>
        <w:tc>
          <w:tcPr>
            <w:cnfStyle w:evenVBand="true" w:oddVBand="false" w:firstColumn="false"/>
            <w:tcW w:w="13.727455%" w:type="pct"/>
          </w:tcPr>
          <w:p>
            <w:pPr>
              <w:pStyle w:val="table-level-0"/>
              <w:ind w:leftChars="0" w:left="0" w:right="0"/>
              <w:keepNext/>
            </w:pPr>
            <w:r>
              <w:t>4,3</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4a20a1ea8a5feabb92712a0d88921694">
              <w:r>
                <w:rPr>
                  <w:rStyle w:val="Hyperlink"/>
                </w:rPr>
                <w:t>Flussi per servizio del debito</w:t>
              </w:r>
            </w:hyperlink>
          </w:p>
        </w:tc>
        <w:tc>
          <w:tcPr>
            <w:cnfStyle w:evenVBand="true" w:oddVBand="false" w:firstColumn="false"/>
            <w:tcW w:w="13.727455%" w:type="pct"/>
          </w:tcPr>
          <w:p>
            <w:pPr>
              <w:pStyle w:val="table-level-300"/>
              <w:ind w:leftChars="0" w:left="0" w:right="0"/>
              <w:keepNext/>
            </w:pPr>
            <w:r>
              <w:t>46,9</w:t>
            </w:r>
          </w:p>
        </w:tc>
        <w:tc>
          <w:tcPr>
            <w:cnfStyle w:evenVBand="false" w:oddVBand="true" w:firstColumn="false"/>
            <w:tcW w:w="13.727455%" w:type="pct"/>
          </w:tcPr>
          <w:p>
            <w:pPr>
              <w:pStyle w:val="table-level-300"/>
              <w:ind w:leftChars="0" w:left="0" w:right="0"/>
              <w:keepNext/>
            </w:pPr>
            <w:r>
              <w:t>-201,4</w:t>
            </w:r>
          </w:p>
        </w:tc>
        <w:tc>
          <w:tcPr>
            <w:cnfStyle w:evenVBand="true" w:oddVBand="false" w:firstColumn="false"/>
            <w:tcW w:w="13.727455%" w:type="pct"/>
          </w:tcPr>
          <w:p>
            <w:pPr>
              <w:pStyle w:val="table-level-300"/>
              <w:ind w:leftChars="0" w:left="0" w:right="0"/>
              <w:keepNext/>
            </w:pPr>
            <w:r>
              <w:t>819,4</w:t>
            </w:r>
          </w:p>
        </w:tc>
        <w:tc>
          <w:tcPr>
            <w:cnfStyle w:evenVBand="false" w:oddVBand="true" w:firstColumn="false"/>
            <w:tcW w:w="13.727455%" w:type="pct"/>
          </w:tcPr>
          <w:p>
            <w:pPr>
              <w:pStyle w:val="table-level-300"/>
              <w:ind w:leftChars="0" w:left="0" w:right="0"/>
              <w:keepNext/>
            </w:pPr>
            <w:r>
              <w:t>276,2</w:t>
            </w:r>
          </w:p>
        </w:tc>
        <w:tc>
          <w:tcPr>
            <w:cnfStyle w:evenVBand="true" w:oddVBand="false" w:firstColumn="false"/>
            <w:tcW w:w="13.727455%" w:type="pct"/>
          </w:tcPr>
          <w:p>
            <w:pPr>
              <w:pStyle w:val="table-level-300"/>
              <w:ind w:leftChars="0" w:left="0" w:right="0"/>
              <w:keepNext/>
            </w:pPr>
            <w:r>
              <w:t>256</w:t>
            </w:r>
          </w:p>
        </w:tc>
      </w:tr>
    </w:tbl>
    <w:p>
      <w:pPr>
        <w:pStyle w:val="TableBottomMargin"/>
      </w:pPr>
    </w:p>
    <w:p>
      <w:pPr>
        <w:pStyle w:val="BodyText"/>
        <w:ind w:leftChars="0" w:left="0" w:right="0"/>
      </w:pPr>
      <w:r>
        <w:t xml:space="preserve">Dal prospetto si evince che al 31 dicembre 2022 il valore della voce </w:t>
      </w:r>
      <w:r>
        <w:rPr>
          <w:i/>
          <w:iCs/>
        </w:rPr>
        <w:t>Flussi di cassa disponibili per il servizio del debito</w:t>
      </w:r>
      <w:r>
        <w:t xml:space="preserve"> è pari a € 46.908 ed è in crescita del 123% rispetto al 31 dicembre 2021.</w:t>
      </w:r>
    </w:p>
    <w:p>
      <w:pPr>
        <w:pStyle w:val="BodyText"/>
        <w:ind w:leftChars="0" w:left="0" w:right="0"/>
      </w:pPr>
      <w:r>
        <w:t xml:space="preserve">Il grafico seguente mostra l’analisi dell’andamento della voce </w:t>
      </w:r>
      <w:r>
        <w:rPr>
          <w:i/>
          <w:iCs/>
        </w:rPr>
        <w:t>Flussi di cassa disponibili per il servizio del debito</w:t>
      </w:r>
      <w:r>
        <w:t xml:space="preserve"> dal 31 dicembre 2017 al 31 dicembre 2022. Nel periodo evidenziato, il valore medio è stato pari a € 239.420.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1" name="4567e7d7cf5ad1a13e7b600d5af9c3ec.png" descr="_static/temp/4567e7d7cf5ad1a13e7b600d5af9c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4567e7d7cf5ad1a13e7b600d5af9c3ec.png" descr="_static/temp/4567e7d7cf5ad1a13e7b600d5af9c3ec.png"/>
                    <pic:cNvPicPr>
                      <a:picLocks noChangeAspect="1" noChangeArrowheads="1"/>
                    </pic:cNvPicPr>
                  </pic:nvPicPr>
                  <pic:blipFill>
                    <a:blip xmlns:r="http://schemas.openxmlformats.org/officeDocument/2006/relationships" r:embed="rId134"/>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Flussi di cassa disponibili per il servizio del debito</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2" name="63151f9827a53fe630433def08b4771e.png" descr="_static/temp/63151f9827a53fe630433def08b477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63151f9827a53fe630433def08b4771e.png" descr="_static/temp/63151f9827a53fe630433def08b4771e.png"/>
                    <pic:cNvPicPr>
                      <a:picLocks noChangeAspect="1" noChangeArrowheads="1"/>
                    </pic:cNvPicPr>
                  </pic:nvPicPr>
                  <pic:blipFill>
                    <a:blip xmlns:r="http://schemas.openxmlformats.org/officeDocument/2006/relationships" r:embed="rId135"/>
                    <a:srcRect/>
                    <a:stretch>
                      <a:fillRect/>
                    </a:stretch>
                  </pic:blipFill>
                  <pic:spPr bwMode="auto">
                    <a:xfrm>
                      <a:off x="0" y="0"/>
                      <a:ext cx="6476365" cy="3266766"/>
                    </a:xfrm>
                    <a:prstGeom prst="rect">
                      <a:avLst/>
                    </a:prstGeom>
                    <a:noFill/>
                  </pic:spPr>
                </pic:pic>
              </a:graphicData>
            </a:graphic>
          </wp:inline>
        </w:drawing>
      </w:r>
    </w:p>
    <w:bookmarkStart w:id="615" w:name="_4f015d4a3cfab4d561feea9b3fd7c1ac"/>
    <w:bookmarkStart w:id="616" w:name="_831cb6e789be9f18a9804616db63ed25"/>
    <w:p>
      <w:pPr>
        <w:pStyle w:val="Heading3"/>
        <w:keepNext/>
      </w:pPr>
      <w:r>
        <w:t>Variazione delle attività finanziarie</w:t>
      </w:r>
    </w:p>
    <w:p>
      <w:pPr>
        <w:pStyle w:val="BodyText"/>
        <w:ind w:leftChars="0" w:left="0" w:right="0"/>
      </w:pPr>
      <w:r>
        <w:t xml:space="preserve">La presente sottosezione dei </w:t>
      </w:r>
      <w:hyperlink w:anchor="_4a20a1ea8a5feabb92712a0d88921694">
        <w:r>
          <w:rPr>
            <w:rStyle w:val="Hyperlink"/>
          </w:rPr>
          <w:t>Flussi di cassa disponibili per il servizio del debito</w:t>
        </w:r>
      </w:hyperlink>
      <w:r>
        <w:t xml:space="preserve"> è dedicata alle variazioni delle attività finanziarie. Questi rappresentano l’impatto che hanno sui flussi monetari l’ investimento o la dismissione di immobilizzazioni di natura finanziaria. Un aumento delle immobilizzazioni testimonia una riduzione di liquidità ↑ (</w:t>
      </w:r>
      <w:r>
        <w:rPr>
          <w:b/>
          <w:bCs/>
        </w:rPr>
        <w:t>‒</w:t>
      </w:r>
      <w:r>
        <w:t>). Una diminuzione delle immobilizzazioni testimonia, invece, un incremento di liquidità ↓ (</w:t>
      </w:r>
      <w:r>
        <w:rPr>
          <w:b/>
          <w:bCs/>
        </w:rPr>
        <w:t>+</w:t>
      </w:r>
      <w:r>
        <w:t>).</w:t>
      </w:r>
    </w:p>
    <w:p>
      <w:pPr>
        <w:pStyle w:val="BodyText"/>
        <w:ind w:leftChars="0" w:left="0" w:right="0"/>
      </w:pPr>
      <w:r>
        <w:t xml:space="preserve">Il prospetto seguente illustra il dettaglio analitico della voce </w:t>
      </w:r>
      <w:r>
        <w:rPr>
          <w:i/>
          <w:iCs/>
        </w:rPr>
        <w:t>Variazione delle attività finanziarie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831cb6e789be9f18a9804616db63ed25">
              <w:r>
                <w:rPr>
                  <w:rStyle w:val="Hyperlink"/>
                </w:rPr>
                <w:t>Var. attività finanziarie</w:t>
              </w:r>
            </w:hyperlink>
          </w:p>
        </w:tc>
        <w:tc>
          <w:tcPr>
            <w:cnfStyle w:evenVBand="true" w:oddVBand="false" w:firstColumn="false"/>
            <w:tcW w:w="13.727455%" w:type="pct"/>
          </w:tcPr>
          <w:p>
            <w:pPr>
              <w:pStyle w:val="table-level-1"/>
              <w:ind w:leftChars="0" w:left="0" w:right="0"/>
              <w:keepNext/>
            </w:pPr>
            <w:r>
              <w:t>-11,2</w:t>
            </w:r>
          </w:p>
        </w:tc>
        <w:tc>
          <w:tcPr>
            <w:cnfStyle w:evenVBand="false" w:oddVBand="true" w:firstColumn="false"/>
            <w:tcW w:w="13.727455%" w:type="pct"/>
          </w:tcPr>
          <w:p>
            <w:pPr>
              <w:pStyle w:val="table-level-1"/>
              <w:ind w:leftChars="0" w:left="0" w:right="0"/>
              <w:keepNext/>
            </w:pPr>
            <w:r>
              <w:t>0,95</w:t>
            </w:r>
          </w:p>
        </w:tc>
        <w:tc>
          <w:tcPr>
            <w:cnfStyle w:evenVBand="true" w:oddVBand="false" w:firstColumn="false"/>
            <w:tcW w:w="13.727455%" w:type="pct"/>
          </w:tcPr>
          <w:p>
            <w:pPr>
              <w:pStyle w:val="table-level-1"/>
              <w:ind w:leftChars="0" w:left="0" w:right="0"/>
              <w:keepNext/>
            </w:pPr>
            <w:r>
              <w:t>2</w:t>
            </w:r>
          </w:p>
        </w:tc>
        <w:tc>
          <w:tcPr>
            <w:cnfStyle w:evenVBand="false" w:oddVBand="true" w:firstColumn="false"/>
            <w:tcW w:w="13.727455%" w:type="pct"/>
          </w:tcPr>
          <w:p>
            <w:pPr>
              <w:pStyle w:val="table-level-1"/>
              <w:ind w:leftChars="0" w:left="0" w:right="0"/>
              <w:keepNext/>
            </w:pPr>
            <w:r>
              <w:t>-3,6</w:t>
            </w:r>
          </w:p>
        </w:tc>
        <w:tc>
          <w:tcPr>
            <w:cnfStyle w:evenVBand="true" w:oddVBand="false" w:firstColumn="false"/>
            <w:tcW w:w="13.727455%" w:type="pct"/>
          </w:tcPr>
          <w:p>
            <w:pPr>
              <w:pStyle w:val="table-level-1"/>
              <w:ind w:leftChars="0" w:left="0" w:right="0"/>
              <w:keepNext/>
            </w:pPr>
            <w:r>
              <w:t>4,2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immob. finanziarie</w:t>
            </w:r>
          </w:p>
        </w:tc>
        <w:tc>
          <w:tcPr>
            <w:cnfStyle w:evenVBand="true" w:oddVBand="false" w:firstColumn="false"/>
            <w:tcW w:w="13.727455%" w:type="pct"/>
          </w:tcPr>
          <w:p>
            <w:pPr>
              <w:pStyle w:val="table-level-0"/>
              <w:ind w:leftChars="0" w:left="0" w:right="0"/>
              <w:keepNext/>
            </w:pPr>
            <w:r>
              <w:t>-11</w:t>
            </w:r>
          </w:p>
        </w:tc>
        <w:tc>
          <w:tcPr>
            <w:cnfStyle w:evenVBand="false" w:oddVBand="true" w:firstColumn="false"/>
            <w:tcW w:w="13.727455%" w:type="pct"/>
          </w:tcPr>
          <w:p>
            <w:pPr>
              <w:pStyle w:val="table-level-0"/>
              <w:ind w:leftChars="0" w:left="0" w:right="0"/>
              <w:keepNext/>
            </w:pPr>
            <w:r>
              <w:t>1</w:t>
            </w:r>
          </w:p>
        </w:tc>
        <w:tc>
          <w:tcPr>
            <w:cnfStyle w:evenVBand="true" w:oddVBand="false" w:firstColumn="false"/>
            <w:tcW w:w="13.727455%" w:type="pct"/>
          </w:tcPr>
          <w:p>
            <w:pPr>
              <w:pStyle w:val="table-level-0"/>
              <w:ind w:leftChars="0" w:left="0" w:right="0"/>
              <w:keepNext/>
            </w:pPr>
            <w:r>
              <w:t>2</w:t>
            </w:r>
          </w:p>
        </w:tc>
        <w:tc>
          <w:tcPr>
            <w:cnfStyle w:evenVBand="false" w:oddVBand="true" w:firstColumn="false"/>
            <w:tcW w:w="13.727455%" w:type="pct"/>
          </w:tcPr>
          <w:p>
            <w:pPr>
              <w:pStyle w:val="table-level-0"/>
              <w:ind w:leftChars="0" w:left="0" w:right="0"/>
              <w:keepNext/>
            </w:pPr>
            <w:r>
              <w:t>-2,1</w:t>
            </w:r>
          </w:p>
        </w:tc>
        <w:tc>
          <w:tcPr>
            <w:cnfStyle w:evenVBand="true" w:oddVBand="false" w:firstColumn="false"/>
            <w:tcW w:w="13.727455%" w:type="pct"/>
          </w:tcPr>
          <w:p>
            <w:pPr>
              <w:pStyle w:val="table-level-0"/>
              <w:ind w:leftChars="0" w:left="0" w:right="0"/>
              <w:keepNext/>
            </w:pPr>
            <w:r>
              <w:t>-2,3</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att. finanz. non immobilizate</w:t>
            </w:r>
          </w:p>
        </w:tc>
        <w:tc>
          <w:tcPr>
            <w:cnfStyle w:evenVBand="true" w:oddVBand="false" w:firstColumn="false"/>
            <w:tcW w:w="13.727455%" w:type="pct"/>
          </w:tcPr>
          <w:p>
            <w:pPr>
              <w:pStyle w:val="table-level-0"/>
              <w:ind w:leftChars="0" w:left="0" w:right="0"/>
              <w:keepNext/>
            </w:pPr>
            <w:r>
              <w:t>-0,2</w:t>
            </w:r>
          </w:p>
        </w:tc>
        <w:tc>
          <w:tcPr>
            <w:cnfStyle w:evenVBand="false" w:oddVBand="true" w:firstColumn="false"/>
            <w:tcW w:w="13.727455%" w:type="pct"/>
          </w:tcPr>
          <w:p>
            <w:pPr>
              <w:pStyle w:val="table-level-0"/>
              <w:ind w:leftChars="0" w:left="0" w:right="0"/>
              <w:keepNext/>
            </w:pPr>
            <w:r>
              <w:t>-0,05</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-1,5</w:t>
            </w:r>
          </w:p>
        </w:tc>
        <w:tc>
          <w:tcPr>
            <w:cnfStyle w:evenVBand="true" w:oddVBand="false" w:firstColumn="false"/>
            <w:tcW w:w="13.727455%" w:type="pct"/>
          </w:tcPr>
          <w:p>
            <w:pPr>
              <w:pStyle w:val="table-level-0"/>
              <w:ind w:leftChars="0" w:left="0" w:right="0"/>
              <w:keepNext/>
            </w:pPr>
            <w:r>
              <w:t>6,5</w:t>
            </w:r>
          </w:p>
        </w:tc>
      </w:tr>
    </w:tbl>
    <w:p>
      <w:pPr>
        <w:pStyle w:val="TableBottomMargin"/>
      </w:pPr>
    </w:p>
    <w:p>
      <w:pPr>
        <w:pStyle w:val="BodyText"/>
        <w:ind w:leftChars="0" w:left="0" w:right="0"/>
      </w:pPr>
      <w:r>
        <w:t xml:space="preserve">Dal prospetto si evince che al 31 dicembre 2022 la voce </w:t>
      </w:r>
      <w:r>
        <w:rPr>
          <w:i/>
          <w:iCs/>
        </w:rPr>
        <w:t>Variazione delle attività finanziarie</w:t>
      </w:r>
      <w:r>
        <w:t xml:space="preserve"> ha assorbito liquidità per € -11.200.</w:t>
      </w:r>
    </w:p>
    <w:p>
      <w:pPr>
        <w:pStyle w:val="BodyText"/>
        <w:ind w:leftChars="0" w:left="0" w:right="0"/>
      </w:pPr>
      <w:r>
        <w:t xml:space="preserve">Il grafico seguente mostra l’analisi dell’andamento delle componenti della voce </w:t>
      </w:r>
      <w:r>
        <w:rPr>
          <w:i/>
          <w:iCs/>
        </w:rPr>
        <w:t>Variazione delle attività finanziarie</w:t>
      </w:r>
      <w:r>
        <w:t xml:space="preserve"> dal 31 dicembre 2017 al 31 dicembre 2022. Nel periodo evidenziato, il valore medio è stato pari a € -1.530.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3" name="a02ae97303b3c38c910947ef11be5b80.png" descr="_static/temp/a02ae97303b3c38c910947ef11be5b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02ae97303b3c38c910947ef11be5b80.png" descr="_static/temp/a02ae97303b3c38c910947ef11be5b80.png"/>
                    <pic:cNvPicPr>
                      <a:picLocks noChangeAspect="1" noChangeArrowheads="1"/>
                    </pic:cNvPicPr>
                  </pic:nvPicPr>
                  <pic:blipFill>
                    <a:blip xmlns:r="http://schemas.openxmlformats.org/officeDocument/2006/relationships" r:embed="rId136"/>
                    <a:srcRect/>
                    <a:stretch>
                      <a:fillRect/>
                    </a:stretch>
                  </pic:blipFill>
                  <pic:spPr bwMode="auto">
                    <a:xfrm>
                      <a:off x="0" y="0"/>
                      <a:ext cx="6476365" cy="3266766"/>
                    </a:xfrm>
                    <a:prstGeom prst="rect">
                      <a:avLst/>
                    </a:prstGeom>
                    <a:noFill/>
                  </pic:spPr>
                </pic:pic>
              </a:graphicData>
            </a:graphic>
          </wp:inline>
        </w:drawing>
      </w:r>
    </w:p>
    <w:br w:type="page"/>
    <w:bookmarkEnd w:id="615"/>
    <w:bookmarkEnd w:id="616"/>
    <w:bookmarkEnd w:id="613"/>
    <w:bookmarkEnd w:id="614"/>
    <w:bookmarkStart w:id="617" w:name="_db23df38b65909aecd20efee277c2833"/>
    <w:bookmarkStart w:id="618" w:name="_b6859fb0539189c55efa3c398a82a1d6"/>
    <w:p>
      <w:pPr>
        <w:pStyle w:val="Heading2"/>
        <w:keepNext/>
      </w:pPr>
      <w:r>
        <w:t>Flussi disponibili per i soci</w:t>
      </w:r>
    </w:p>
    <w:p>
      <w:pPr>
        <w:pStyle w:val="BodyText"/>
        <w:ind w:leftChars="0" w:left="0" w:right="0"/>
      </w:pPr>
      <w:r>
        <w:t xml:space="preserve">La presente sottosezione del </w:t>
      </w:r>
      <w:hyperlink w:anchor="_be9dd59504b6581d5cad29d60c714237">
        <w:r>
          <w:rPr>
            <w:rStyle w:val="Hyperlink"/>
          </w:rPr>
          <w:t>Rendiconto finanziario</w:t>
        </w:r>
      </w:hyperlink>
      <w:r>
        <w:t xml:space="preserve"> è dedicata ai flussi di cassa disponibili per la distribuzione ai soci. Questi rappresentano flussi monetari che residuano per i soci dopo il sostenimento di debiti e oneri finanziari.</w:t>
      </w:r>
    </w:p>
    <w:p>
      <w:pPr>
        <w:pStyle w:val="BodyText"/>
        <w:ind w:leftChars="0" w:left="0" w:right="0"/>
      </w:pPr>
      <w:r>
        <w:t xml:space="preserve">Il prospetto seguente illustra il dettaglio analitico delle determinanti della voce </w:t>
      </w:r>
      <w:r>
        <w:rPr>
          <w:i/>
          <w:iCs/>
        </w:rPr>
        <w:t>Flussi di cassa disponibili per i soci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4a20a1ea8a5feabb92712a0d88921694">
              <w:r>
                <w:rPr>
                  <w:rStyle w:val="Hyperlink"/>
                </w:rPr>
                <w:t>Flussi per servizio del debito</w:t>
              </w:r>
            </w:hyperlink>
          </w:p>
        </w:tc>
        <w:tc>
          <w:tcPr>
            <w:cnfStyle w:evenVBand="true" w:oddVBand="false" w:firstColumn="false"/>
            <w:tcW w:w="13.727455%" w:type="pct"/>
          </w:tcPr>
          <w:p>
            <w:pPr>
              <w:pStyle w:val="table-level-300"/>
              <w:ind w:leftChars="0" w:left="0" w:right="0"/>
              <w:keepNext/>
            </w:pPr>
            <w:r>
              <w:t>46,9</w:t>
            </w:r>
          </w:p>
        </w:tc>
        <w:tc>
          <w:tcPr>
            <w:cnfStyle w:evenVBand="false" w:oddVBand="true" w:firstColumn="false"/>
            <w:tcW w:w="13.727455%" w:type="pct"/>
          </w:tcPr>
          <w:p>
            <w:pPr>
              <w:pStyle w:val="table-level-300"/>
              <w:ind w:leftChars="0" w:left="0" w:right="0"/>
              <w:keepNext/>
            </w:pPr>
            <w:r>
              <w:t>-201,4</w:t>
            </w:r>
          </w:p>
        </w:tc>
        <w:tc>
          <w:tcPr>
            <w:cnfStyle w:evenVBand="true" w:oddVBand="false" w:firstColumn="false"/>
            <w:tcW w:w="13.727455%" w:type="pct"/>
          </w:tcPr>
          <w:p>
            <w:pPr>
              <w:pStyle w:val="table-level-300"/>
              <w:ind w:leftChars="0" w:left="0" w:right="0"/>
              <w:keepNext/>
            </w:pPr>
            <w:r>
              <w:t>819,4</w:t>
            </w:r>
          </w:p>
        </w:tc>
        <w:tc>
          <w:tcPr>
            <w:cnfStyle w:evenVBand="false" w:oddVBand="true" w:firstColumn="false"/>
            <w:tcW w:w="13.727455%" w:type="pct"/>
          </w:tcPr>
          <w:p>
            <w:pPr>
              <w:pStyle w:val="table-level-300"/>
              <w:ind w:leftChars="0" w:left="0" w:right="0"/>
              <w:keepNext/>
            </w:pPr>
            <w:r>
              <w:t>276,2</w:t>
            </w:r>
          </w:p>
        </w:tc>
        <w:tc>
          <w:tcPr>
            <w:cnfStyle w:evenVBand="true" w:oddVBand="false" w:firstColumn="false"/>
            <w:tcW w:w="13.727455%" w:type="pct"/>
          </w:tcPr>
          <w:p>
            <w:pPr>
              <w:pStyle w:val="table-level-300"/>
              <w:ind w:leftChars="0" w:left="0" w:right="0"/>
              <w:keepNext/>
            </w:pPr>
            <w:r>
              <w:t>256</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Flussi passività finanziarie</w:t>
            </w:r>
          </w:p>
        </w:tc>
        <w:tc>
          <w:tcPr>
            <w:cnfStyle w:evenVBand="true" w:oddVBand="false" w:firstColumn="false"/>
            <w:tcW w:w="13.727455%" w:type="pct"/>
          </w:tcPr>
          <w:p>
            <w:pPr>
              <w:pStyle w:val="table-level-1"/>
              <w:ind w:leftChars="0" w:left="0" w:right="0"/>
              <w:keepNext/>
            </w:pPr>
            <w:r>
              <w:t>1.185</w:t>
            </w:r>
          </w:p>
        </w:tc>
        <w:tc>
          <w:tcPr>
            <w:cnfStyle w:evenVBand="false" w:oddVBand="true" w:firstColumn="false"/>
            <w:tcW w:w="13.727455%" w:type="pct"/>
          </w:tcPr>
          <w:p>
            <w:pPr>
              <w:pStyle w:val="table-level-1"/>
              <w:ind w:leftChars="0" w:left="0" w:right="0"/>
              <w:keepNext/>
            </w:pPr>
            <w:r>
              <w:t>-45,7</w:t>
            </w:r>
          </w:p>
        </w:tc>
        <w:tc>
          <w:tcPr>
            <w:cnfStyle w:evenVBand="true" w:oddVBand="false" w:firstColumn="false"/>
            <w:tcW w:w="13.727455%" w:type="pct"/>
          </w:tcPr>
          <w:p>
            <w:pPr>
              <w:pStyle w:val="table-level-1"/>
              <w:ind w:leftChars="0" w:left="0" w:right="0"/>
              <w:keepNext/>
            </w:pPr>
            <w:r>
              <w:t>-300,5</w:t>
            </w:r>
          </w:p>
        </w:tc>
        <w:tc>
          <w:tcPr>
            <w:cnfStyle w:evenVBand="false" w:oddVBand="true" w:firstColumn="false"/>
            <w:tcW w:w="13.727455%" w:type="pct"/>
          </w:tcPr>
          <w:p>
            <w:pPr>
              <w:pStyle w:val="table-level-1"/>
              <w:ind w:leftChars="0" w:left="0" w:right="0"/>
              <w:keepNext/>
            </w:pPr>
            <w:r>
              <w:t>-171,3</w:t>
            </w:r>
          </w:p>
        </w:tc>
        <w:tc>
          <w:tcPr>
            <w:cnfStyle w:evenVBand="true" w:oddVBand="false" w:firstColumn="false"/>
            <w:tcW w:w="13.727455%" w:type="pct"/>
          </w:tcPr>
          <w:p>
            <w:pPr>
              <w:pStyle w:val="table-level-1"/>
              <w:ind w:leftChars="0" w:left="0" w:right="0"/>
              <w:keepNext/>
            </w:pPr>
            <w:r>
              <w:t>-121,8</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hyperlink w:anchor="_bcbd8c75aba5e984a22dafd11e50d247">
              <w:r>
                <w:rPr>
                  <w:rStyle w:val="Hyperlink"/>
                </w:rPr>
                <w:t>Oneri finanziari</w:t>
              </w:r>
            </w:hyperlink>
          </w:p>
        </w:tc>
        <w:tc>
          <w:tcPr>
            <w:cnfStyle w:evenVBand="true" w:oddVBand="false" w:firstColumn="false"/>
            <w:tcW w:w="13.727455%" w:type="pct"/>
          </w:tcPr>
          <w:p>
            <w:pPr>
              <w:pStyle w:val="table-level-0"/>
              <w:ind w:leftChars="0" w:left="0" w:right="0"/>
              <w:keepNext/>
            </w:pPr>
            <w:r>
              <w:t>-234,8</w:t>
            </w:r>
          </w:p>
        </w:tc>
        <w:tc>
          <w:tcPr>
            <w:cnfStyle w:evenVBand="false" w:oddVBand="true" w:firstColumn="false"/>
            <w:tcW w:w="13.727455%" w:type="pct"/>
          </w:tcPr>
          <w:p>
            <w:pPr>
              <w:pStyle w:val="table-level-0"/>
              <w:ind w:leftChars="0" w:left="0" w:right="0"/>
              <w:keepNext/>
            </w:pPr>
            <w:r>
              <w:t>-220,7</w:t>
            </w:r>
          </w:p>
        </w:tc>
        <w:tc>
          <w:tcPr>
            <w:cnfStyle w:evenVBand="true" w:oddVBand="false" w:firstColumn="false"/>
            <w:tcW w:w="13.727455%" w:type="pct"/>
          </w:tcPr>
          <w:p>
            <w:pPr>
              <w:pStyle w:val="table-level-0"/>
              <w:ind w:leftChars="0" w:left="0" w:right="0"/>
              <w:keepNext/>
            </w:pPr>
            <w:r>
              <w:t>-210,5</w:t>
            </w:r>
          </w:p>
        </w:tc>
        <w:tc>
          <w:tcPr>
            <w:cnfStyle w:evenVBand="false" w:oddVBand="true" w:firstColumn="false"/>
            <w:tcW w:w="13.727455%" w:type="pct"/>
          </w:tcPr>
          <w:p>
            <w:pPr>
              <w:pStyle w:val="table-level-0"/>
              <w:ind w:leftChars="0" w:left="0" w:right="0"/>
              <w:keepNext/>
            </w:pPr>
            <w:r>
              <w:t>-205,5</w:t>
            </w:r>
          </w:p>
        </w:tc>
        <w:tc>
          <w:tcPr>
            <w:cnfStyle w:evenVBand="true" w:oddVBand="false" w:firstColumn="false"/>
            <w:tcW w:w="13.727455%" w:type="pct"/>
          </w:tcPr>
          <w:p>
            <w:pPr>
              <w:pStyle w:val="table-level-0"/>
              <w:ind w:leftChars="0" w:left="0" w:right="0"/>
              <w:keepNext/>
            </w:pPr>
            <w:r>
              <w:t>-201</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hyperlink w:anchor="_403aaf992b7fb1d10220e00f8db8be13">
              <w:r>
                <w:rPr>
                  <w:rStyle w:val="Hyperlink"/>
                </w:rPr>
                <w:t>Var. finanziamenti</w:t>
              </w:r>
            </w:hyperlink>
          </w:p>
        </w:tc>
        <w:tc>
          <w:tcPr>
            <w:cnfStyle w:evenVBand="true" w:oddVBand="false" w:firstColumn="false"/>
            <w:tcW w:w="13.727455%" w:type="pct"/>
          </w:tcPr>
          <w:p>
            <w:pPr>
              <w:pStyle w:val="table-level-0"/>
              <w:ind w:leftChars="0" w:left="0" w:right="0"/>
              <w:keepNext/>
            </w:pPr>
            <w:r>
              <w:t>1.420</w:t>
            </w:r>
          </w:p>
        </w:tc>
        <w:tc>
          <w:tcPr>
            <w:cnfStyle w:evenVBand="false" w:oddVBand="true" w:firstColumn="false"/>
            <w:tcW w:w="13.727455%" w:type="pct"/>
          </w:tcPr>
          <w:p>
            <w:pPr>
              <w:pStyle w:val="table-level-0"/>
              <w:ind w:leftChars="0" w:left="0" w:right="0"/>
              <w:keepNext/>
            </w:pPr>
            <w:r>
              <w:t>175</w:t>
            </w:r>
          </w:p>
        </w:tc>
        <w:tc>
          <w:tcPr>
            <w:cnfStyle w:evenVBand="true" w:oddVBand="false" w:firstColumn="false"/>
            <w:tcW w:w="13.727455%" w:type="pct"/>
          </w:tcPr>
          <w:p>
            <w:pPr>
              <w:pStyle w:val="table-level-0"/>
              <w:ind w:leftChars="0" w:left="0" w:right="0"/>
              <w:keepNext/>
            </w:pPr>
            <w:r>
              <w:t>-90</w:t>
            </w:r>
          </w:p>
        </w:tc>
        <w:tc>
          <w:tcPr>
            <w:cnfStyle w:evenVBand="false" w:oddVBand="true" w:firstColumn="false"/>
            <w:tcW w:w="13.727455%" w:type="pct"/>
          </w:tcPr>
          <w:p>
            <w:pPr>
              <w:pStyle w:val="table-level-0"/>
              <w:ind w:leftChars="0" w:left="0" w:right="0"/>
              <w:keepNext/>
            </w:pPr>
            <w:r>
              <w:t>34,2</w:t>
            </w:r>
          </w:p>
        </w:tc>
        <w:tc>
          <w:tcPr>
            <w:cnfStyle w:evenVBand="true" w:oddVBand="false" w:firstColumn="false"/>
            <w:tcW w:w="13.727455%" w:type="pct"/>
          </w:tcPr>
          <w:p>
            <w:pPr>
              <w:pStyle w:val="table-level-0"/>
              <w:ind w:leftChars="0" w:left="0" w:right="0"/>
              <w:keepNext/>
            </w:pPr>
            <w:r>
              <w:t>79,2</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b6859fb0539189c55efa3c398a82a1d6">
              <w:r>
                <w:rPr>
                  <w:rStyle w:val="Hyperlink"/>
                </w:rPr>
                <w:t>Flussi disponibili per i soci</w:t>
              </w:r>
            </w:hyperlink>
          </w:p>
        </w:tc>
        <w:tc>
          <w:tcPr>
            <w:cnfStyle w:evenVBand="true" w:oddVBand="false" w:firstColumn="false"/>
            <w:tcW w:w="13.727455%" w:type="pct"/>
          </w:tcPr>
          <w:p>
            <w:pPr>
              <w:pStyle w:val="table-level-300"/>
              <w:ind w:leftChars="0" w:left="0" w:right="0"/>
              <w:keepNext/>
            </w:pPr>
            <w:r>
              <w:t>1.232</w:t>
            </w:r>
          </w:p>
        </w:tc>
        <w:tc>
          <w:tcPr>
            <w:cnfStyle w:evenVBand="false" w:oddVBand="true" w:firstColumn="false"/>
            <w:tcW w:w="13.727455%" w:type="pct"/>
          </w:tcPr>
          <w:p>
            <w:pPr>
              <w:pStyle w:val="table-level-300"/>
              <w:ind w:leftChars="0" w:left="0" w:right="0"/>
              <w:keepNext/>
            </w:pPr>
            <w:r>
              <w:t>-247,1</w:t>
            </w:r>
          </w:p>
        </w:tc>
        <w:tc>
          <w:tcPr>
            <w:cnfStyle w:evenVBand="true" w:oddVBand="false" w:firstColumn="false"/>
            <w:tcW w:w="13.727455%" w:type="pct"/>
          </w:tcPr>
          <w:p>
            <w:pPr>
              <w:pStyle w:val="table-level-300"/>
              <w:ind w:leftChars="0" w:left="0" w:right="0"/>
              <w:keepNext/>
            </w:pPr>
            <w:r>
              <w:t>518,9</w:t>
            </w:r>
          </w:p>
        </w:tc>
        <w:tc>
          <w:tcPr>
            <w:cnfStyle w:evenVBand="false" w:oddVBand="true" w:firstColumn="false"/>
            <w:tcW w:w="13.727455%" w:type="pct"/>
          </w:tcPr>
          <w:p>
            <w:pPr>
              <w:pStyle w:val="table-level-300"/>
              <w:ind w:leftChars="0" w:left="0" w:right="0"/>
              <w:keepNext/>
            </w:pPr>
            <w:r>
              <w:t>104,9</w:t>
            </w:r>
          </w:p>
        </w:tc>
        <w:tc>
          <w:tcPr>
            <w:cnfStyle w:evenVBand="true" w:oddVBand="false" w:firstColumn="false"/>
            <w:tcW w:w="13.727455%" w:type="pct"/>
          </w:tcPr>
          <w:p>
            <w:pPr>
              <w:pStyle w:val="table-level-300"/>
              <w:ind w:leftChars="0" w:left="0" w:right="0"/>
              <w:keepNext/>
            </w:pPr>
            <w:r>
              <w:t>134,2</w:t>
            </w:r>
          </w:p>
        </w:tc>
      </w:tr>
    </w:tbl>
    <w:p>
      <w:pPr>
        <w:pStyle w:val="TableBottomMargin"/>
      </w:pPr>
    </w:p>
    <w:p>
      <w:pPr>
        <w:pStyle w:val="BodyText"/>
        <w:ind w:leftChars="0" w:left="0" w:right="0"/>
      </w:pPr>
      <w:r>
        <w:t xml:space="preserve">Dal prospetto si evince che al 31 dicembre 2022 il valore della voce </w:t>
      </w:r>
      <w:r>
        <w:rPr>
          <w:i/>
          <w:iCs/>
        </w:rPr>
        <w:t>Flussi di cassa disponibili per i soci</w:t>
      </w:r>
      <w:r>
        <w:t xml:space="preserve"> è pari a € 1.232.158 ed è in crescita del 599% rispetto al 31 dicembre 2021.</w:t>
      </w:r>
    </w:p>
    <w:p>
      <w:pPr>
        <w:pStyle w:val="BodyText"/>
        <w:ind w:leftChars="0" w:left="0" w:right="0"/>
      </w:pPr>
      <w:r>
        <w:t xml:space="preserve">Il grafico seguente mostra l’analisi dell’andamento della voce </w:t>
      </w:r>
      <w:r>
        <w:rPr>
          <w:i/>
          <w:iCs/>
        </w:rPr>
        <w:t>Flussi di cassa disponibili per i soci</w:t>
      </w:r>
      <w:r>
        <w:t xml:space="preserve"> dal 31 dicembre 2017 al 31 dicembre 2022. Nel periodo evidenziato, il valore medio è stato pari a € 348.610.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4" name="056244871542a95269b337d66f936369.png" descr="_static/temp/056244871542a95269b337d66f936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56244871542a95269b337d66f936369.png" descr="_static/temp/056244871542a95269b337d66f936369.png"/>
                    <pic:cNvPicPr>
                      <a:picLocks noChangeAspect="1" noChangeArrowheads="1"/>
                    </pic:cNvPicPr>
                  </pic:nvPicPr>
                  <pic:blipFill>
                    <a:blip xmlns:r="http://schemas.openxmlformats.org/officeDocument/2006/relationships" r:embed="rId13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Flussi di cassa disponibili per i soci</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5" name="955ca2703ecdab42efd09425d6d5a6ae.png" descr="_static/temp/955ca2703ecdab42efd09425d6d5a6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955ca2703ecdab42efd09425d6d5a6ae.png" descr="_static/temp/955ca2703ecdab42efd09425d6d5a6ae.png"/>
                    <pic:cNvPicPr>
                      <a:picLocks noChangeAspect="1" noChangeArrowheads="1"/>
                    </pic:cNvPicPr>
                  </pic:nvPicPr>
                  <pic:blipFill>
                    <a:blip xmlns:r="http://schemas.openxmlformats.org/officeDocument/2006/relationships" r:embed="rId138"/>
                    <a:srcRect/>
                    <a:stretch>
                      <a:fillRect/>
                    </a:stretch>
                  </pic:blipFill>
                  <pic:spPr bwMode="auto">
                    <a:xfrm>
                      <a:off x="0" y="0"/>
                      <a:ext cx="6476365" cy="3266766"/>
                    </a:xfrm>
                    <a:prstGeom prst="rect">
                      <a:avLst/>
                    </a:prstGeom>
                    <a:noFill/>
                  </pic:spPr>
                </pic:pic>
              </a:graphicData>
            </a:graphic>
          </wp:inline>
        </w:drawing>
      </w:r>
    </w:p>
    <w:bookmarkStart w:id="619" w:name="_b7bf493b788c2f1a1d4367a4674792b6"/>
    <w:bookmarkStart w:id="620" w:name="_403aaf992b7fb1d10220e00f8db8be13"/>
    <w:p>
      <w:pPr>
        <w:pStyle w:val="Heading3"/>
        <w:keepNext/>
      </w:pPr>
      <w:r>
        <w:t>Variazione di debiti finanziari</w:t>
      </w:r>
    </w:p>
    <w:p>
      <w:pPr>
        <w:pStyle w:val="BodyText"/>
        <w:ind w:leftChars="0" w:left="0" w:right="0"/>
      </w:pPr>
      <w:r>
        <w:t xml:space="preserve">La presente sottosezione dei </w:t>
      </w:r>
      <w:hyperlink w:anchor="_b6859fb0539189c55efa3c398a82a1d6">
        <w:r>
          <w:rPr>
            <w:rStyle w:val="Hyperlink"/>
          </w:rPr>
          <w:t>Flussi disponibili per la distribuzione ai soci</w:t>
        </w:r>
      </w:hyperlink>
      <w:r>
        <w:t xml:space="preserve"> è dedicata alle variazioni dei debiti finanziari. Queste rappresentano l’impatto che hanno, sui flussi monetari, l’aumento o la diminuzione dei finanziamenti. Un aumento dei debiti finanziari comporta un incremento di liquidità ↑ (</w:t>
      </w:r>
      <w:r>
        <w:rPr>
          <w:b/>
          <w:bCs/>
        </w:rPr>
        <w:t>+</w:t>
      </w:r>
      <w:r>
        <w:t>). Viceversa, una diminuzione dei debiti indica una riduzione di liquidità ↓ (</w:t>
      </w:r>
      <w:r>
        <w:rPr>
          <w:b/>
          <w:bCs/>
        </w:rPr>
        <w:t>‒</w:t>
      </w:r>
      <w:r>
        <w:t>).</w:t>
      </w:r>
    </w:p>
    <w:p>
      <w:pPr>
        <w:pStyle w:val="BodyText"/>
        <w:ind w:leftChars="0" w:left="0" w:right="0"/>
      </w:pPr>
      <w:r>
        <w:t xml:space="preserve">Il prospetto seguente illustra il dettaglio analitico della voce </w:t>
      </w:r>
      <w:r>
        <w:rPr>
          <w:i/>
          <w:iCs/>
        </w:rPr>
        <w:t>Variazione di debiti finanziari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403aaf992b7fb1d10220e00f8db8be13">
              <w:r>
                <w:rPr>
                  <w:rStyle w:val="Hyperlink"/>
                </w:rPr>
                <w:t>Var. finanziamenti</w:t>
              </w:r>
            </w:hyperlink>
          </w:p>
        </w:tc>
        <w:tc>
          <w:tcPr>
            <w:cnfStyle w:evenVBand="true" w:oddVBand="false" w:firstColumn="false"/>
            <w:tcW w:w="13.727455%" w:type="pct"/>
          </w:tcPr>
          <w:p>
            <w:pPr>
              <w:pStyle w:val="table-level-1"/>
              <w:ind w:leftChars="0" w:left="0" w:right="0"/>
              <w:keepNext/>
            </w:pPr>
            <w:r>
              <w:t>1.420</w:t>
            </w:r>
          </w:p>
        </w:tc>
        <w:tc>
          <w:tcPr>
            <w:cnfStyle w:evenVBand="false" w:oddVBand="true" w:firstColumn="false"/>
            <w:tcW w:w="13.727455%" w:type="pct"/>
          </w:tcPr>
          <w:p>
            <w:pPr>
              <w:pStyle w:val="table-level-1"/>
              <w:ind w:leftChars="0" w:left="0" w:right="0"/>
              <w:keepNext/>
            </w:pPr>
            <w:r>
              <w:t>175</w:t>
            </w:r>
          </w:p>
        </w:tc>
        <w:tc>
          <w:tcPr>
            <w:cnfStyle w:evenVBand="true" w:oddVBand="false" w:firstColumn="false"/>
            <w:tcW w:w="13.727455%" w:type="pct"/>
          </w:tcPr>
          <w:p>
            <w:pPr>
              <w:pStyle w:val="table-level-1"/>
              <w:ind w:leftChars="0" w:left="0" w:right="0"/>
              <w:keepNext/>
            </w:pPr>
            <w:r>
              <w:t>-90</w:t>
            </w:r>
          </w:p>
        </w:tc>
        <w:tc>
          <w:tcPr>
            <w:cnfStyle w:evenVBand="false" w:oddVBand="true" w:firstColumn="false"/>
            <w:tcW w:w="13.727455%" w:type="pct"/>
          </w:tcPr>
          <w:p>
            <w:pPr>
              <w:pStyle w:val="table-level-1"/>
              <w:ind w:leftChars="0" w:left="0" w:right="0"/>
              <w:keepNext/>
            </w:pPr>
            <w:r>
              <w:t>34,2</w:t>
            </w:r>
          </w:p>
        </w:tc>
        <w:tc>
          <w:tcPr>
            <w:cnfStyle w:evenVBand="true" w:oddVBand="false" w:firstColumn="false"/>
            <w:tcW w:w="13.727455%" w:type="pct"/>
          </w:tcPr>
          <w:p>
            <w:pPr>
              <w:pStyle w:val="table-level-1"/>
              <w:ind w:leftChars="0" w:left="0" w:right="0"/>
              <w:keepNext/>
            </w:pPr>
            <w:r>
              <w:t>79,2</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obbligazioni</w:t>
            </w:r>
          </w:p>
        </w:tc>
        <w:tc>
          <w:tcPr>
            <w:cnfStyle w:evenVBand="true" w:oddVBand="false" w:firstColumn="false"/>
            <w:tcW w:w="13.727455%" w:type="pct"/>
          </w:tcPr>
          <w:p>
            <w:pPr>
              <w:pStyle w:val="table-level-0"/>
              <w:ind w:leftChars="0" w:left="0" w:right="0"/>
              <w:keepNext/>
            </w:pPr>
            <w:r>
              <w:t>-15</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-20</w:t>
            </w:r>
          </w:p>
        </w:tc>
        <w:tc>
          <w:tcPr>
            <w:cnfStyle w:evenVBand="true" w:oddVBand="false" w:firstColumn="false"/>
            <w:tcW w:w="13.727455%" w:type="pct"/>
          </w:tcPr>
          <w:p>
            <w:pPr>
              <w:pStyle w:val="table-level-0"/>
              <w:ind w:leftChars="0" w:left="0" w:right="0"/>
              <w:keepNext/>
            </w:pPr>
            <w:r>
              <w:t>-20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finanziamenti a breve</w:t>
            </w:r>
          </w:p>
        </w:tc>
        <w:tc>
          <w:tcPr>
            <w:cnfStyle w:evenVBand="true" w:oddVBand="false" w:firstColumn="false"/>
            <w:tcW w:w="13.727455%" w:type="pct"/>
          </w:tcPr>
          <w:p>
            <w:pPr>
              <w:pStyle w:val="table-level-0"/>
              <w:ind w:leftChars="0" w:left="0" w:right="0"/>
              <w:keepNext/>
            </w:pPr>
            <w:r>
              <w:t>330</w:t>
            </w:r>
          </w:p>
        </w:tc>
        <w:tc>
          <w:tcPr>
            <w:cnfStyle w:evenVBand="false" w:oddVBand="true" w:firstColumn="false"/>
            <w:tcW w:w="13.727455%" w:type="pct"/>
          </w:tcPr>
          <w:p>
            <w:pPr>
              <w:pStyle w:val="table-level-0"/>
              <w:ind w:leftChars="0" w:left="0" w:right="0"/>
              <w:keepNext/>
            </w:pPr>
            <w:r>
              <w:t>-30</w:t>
            </w:r>
          </w:p>
        </w:tc>
        <w:tc>
          <w:tcPr>
            <w:cnfStyle w:evenVBand="true" w:oddVBand="false" w:firstColumn="false"/>
            <w:tcW w:w="13.727455%" w:type="pct"/>
          </w:tcPr>
          <w:p>
            <w:pPr>
              <w:pStyle w:val="table-level-0"/>
              <w:ind w:leftChars="0" w:left="0" w:right="0"/>
              <w:keepNext/>
            </w:pPr>
            <w:r>
              <w:t>-200</w:t>
            </w:r>
          </w:p>
        </w:tc>
        <w:tc>
          <w:tcPr>
            <w:cnfStyle w:evenVBand="false" w:oddVBand="true" w:firstColumn="false"/>
            <w:tcW w:w="13.727455%" w:type="pct"/>
          </w:tcPr>
          <w:p>
            <w:pPr>
              <w:pStyle w:val="table-level-0"/>
              <w:ind w:leftChars="0" w:left="0" w:right="0"/>
              <w:keepNext/>
            </w:pPr>
            <w:r>
              <w:t>15</w:t>
            </w:r>
          </w:p>
        </w:tc>
        <w:tc>
          <w:tcPr>
            <w:cnfStyle w:evenVBand="true" w:oddVBand="false" w:firstColumn="false"/>
            <w:tcW w:w="13.727455%" w:type="pct"/>
          </w:tcPr>
          <w:p>
            <w:pPr>
              <w:pStyle w:val="table-level-0"/>
              <w:ind w:leftChars="0" w:left="0" w:right="0"/>
              <w:keepNext/>
            </w:pPr>
            <w:r>
              <w:t>60</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 finanziamenti a lungo</w:t>
            </w:r>
          </w:p>
        </w:tc>
        <w:tc>
          <w:tcPr>
            <w:cnfStyle w:evenVBand="true" w:oddVBand="false" w:firstColumn="false"/>
            <w:tcW w:w="13.727455%" w:type="pct"/>
          </w:tcPr>
          <w:p>
            <w:pPr>
              <w:pStyle w:val="table-level-0"/>
              <w:ind w:leftChars="0" w:left="0" w:right="0"/>
              <w:keepNext/>
            </w:pPr>
            <w:r>
              <w:t>1.100</w:t>
            </w:r>
          </w:p>
        </w:tc>
        <w:tc>
          <w:tcPr>
            <w:cnfStyle w:evenVBand="false" w:oddVBand="true" w:firstColumn="false"/>
            <w:tcW w:w="13.727455%" w:type="pct"/>
          </w:tcPr>
          <w:p>
            <w:pPr>
              <w:pStyle w:val="table-level-0"/>
              <w:ind w:leftChars="0" w:left="0" w:right="0"/>
              <w:keepNext/>
            </w:pPr>
            <w:r>
              <w:t>200</w:t>
            </w:r>
          </w:p>
        </w:tc>
        <w:tc>
          <w:tcPr>
            <w:cnfStyle w:evenVBand="true" w:oddVBand="false" w:firstColumn="false"/>
            <w:tcW w:w="13.727455%" w:type="pct"/>
          </w:tcPr>
          <w:p>
            <w:pPr>
              <w:pStyle w:val="table-level-0"/>
              <w:ind w:leftChars="0" w:left="0" w:right="0"/>
              <w:keepNext/>
            </w:pPr>
            <w:r>
              <w:t>100</w:t>
            </w:r>
          </w:p>
        </w:tc>
        <w:tc>
          <w:tcPr>
            <w:cnfStyle w:evenVBand="false" w:oddVBand="true" w:firstColumn="false"/>
            <w:tcW w:w="13.727455%" w:type="pct"/>
          </w:tcPr>
          <w:p>
            <w:pPr>
              <w:pStyle w:val="table-level-0"/>
              <w:ind w:leftChars="0" w:left="0" w:right="0"/>
              <w:keepNext/>
            </w:pPr>
            <w:r>
              <w:t>40</w:t>
            </w:r>
          </w:p>
        </w:tc>
        <w:tc>
          <w:tcPr>
            <w:cnfStyle w:evenVBand="true" w:oddVBand="false" w:firstColumn="false"/>
            <w:tcW w:w="13.727455%" w:type="pct"/>
          </w:tcPr>
          <w:p>
            <w:pPr>
              <w:pStyle w:val="table-level-0"/>
              <w:ind w:leftChars="0" w:left="0" w:right="0"/>
              <w:keepNext/>
            </w:pPr>
            <w:r>
              <w:t>40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 altri debiti finanziari</w:t>
            </w:r>
          </w:p>
        </w:tc>
        <w:tc>
          <w:tcPr>
            <w:cnfStyle w:evenVBand="true" w:oddVBand="false" w:firstColumn="false"/>
            <w:tcW w:w="13.727455%" w:type="pct"/>
          </w:tcPr>
          <w:p>
            <w:pPr>
              <w:pStyle w:val="table-level-0"/>
              <w:ind w:leftChars="0" w:left="0" w:right="0"/>
              <w:keepNext/>
            </w:pPr>
            <w:r>
              <w:t>5</w:t>
            </w:r>
          </w:p>
        </w:tc>
        <w:tc>
          <w:tcPr>
            <w:cnfStyle w:evenVBand="false" w:oddVBand="true" w:firstColumn="false"/>
            <w:tcW w:w="13.727455%" w:type="pct"/>
          </w:tcPr>
          <w:p>
            <w:pPr>
              <w:pStyle w:val="table-level-0"/>
              <w:ind w:leftChars="0" w:left="0" w:right="0"/>
              <w:keepNext/>
            </w:pPr>
            <w:r>
              <w:t>5</w:t>
            </w:r>
          </w:p>
        </w:tc>
        <w:tc>
          <w:tcPr>
            <w:cnfStyle w:evenVBand="true" w:oddVBand="false" w:firstColumn="false"/>
            <w:tcW w:w="13.727455%" w:type="pct"/>
          </w:tcPr>
          <w:p>
            <w:pPr>
              <w:pStyle w:val="table-level-0"/>
              <w:ind w:leftChars="0" w:left="0" w:right="0"/>
              <w:keepNext/>
            </w:pPr>
            <w:r>
              <w:t>10</w:t>
            </w:r>
          </w:p>
        </w:tc>
        <w:tc>
          <w:tcPr>
            <w:cnfStyle w:evenVBand="false" w:oddVBand="true" w:firstColumn="false"/>
            <w:tcW w:w="13.727455%" w:type="pct"/>
          </w:tcPr>
          <w:p>
            <w:pPr>
              <w:pStyle w:val="table-level-0"/>
              <w:ind w:leftChars="0" w:left="0" w:right="0"/>
              <w:keepNext/>
            </w:pPr>
            <w:r>
              <w:t>-0,8</w:t>
            </w:r>
          </w:p>
        </w:tc>
        <w:tc>
          <w:tcPr>
            <w:cnfStyle w:evenVBand="true" w:oddVBand="false" w:firstColumn="false"/>
            <w:tcW w:w="13.727455%" w:type="pct"/>
          </w:tcPr>
          <w:p>
            <w:pPr>
              <w:pStyle w:val="table-level-0"/>
              <w:ind w:leftChars="0" w:left="0" w:right="0"/>
              <w:keepNext/>
            </w:pPr>
            <w:r>
              <w:t>-0,8</w:t>
            </w:r>
          </w:p>
        </w:tc>
      </w:tr>
    </w:tbl>
    <w:p>
      <w:pPr>
        <w:pStyle w:val="TableBottomMargin"/>
      </w:pPr>
    </w:p>
    <w:p>
      <w:pPr>
        <w:pStyle w:val="BodyText"/>
        <w:ind w:leftChars="0" w:left="0" w:right="0"/>
      </w:pPr>
      <w:r>
        <w:t xml:space="preserve">Dal prospetto si evince che al 31 dicembre 2022 la voce </w:t>
      </w:r>
      <w:r>
        <w:rPr>
          <w:i/>
          <w:iCs/>
        </w:rPr>
        <w:t>Variazione di debiti finanziari</w:t>
      </w:r>
      <w:r>
        <w:t xml:space="preserve"> ha generato liquidità per € 1.420.000.</w:t>
      </w:r>
    </w:p>
    <w:p>
      <w:pPr>
        <w:pStyle w:val="BodyText"/>
        <w:ind w:leftChars="0" w:left="0" w:right="0"/>
      </w:pPr>
      <w:r>
        <w:t xml:space="preserve">Il grafico seguente mostra l’analisi dell’andamento delle componenti della voce </w:t>
      </w:r>
      <w:r>
        <w:rPr>
          <w:i/>
          <w:iCs/>
        </w:rPr>
        <w:t>Variazione di debiti finanziari</w:t>
      </w:r>
      <w:r>
        <w:t xml:space="preserve"> dal 31 dicembre 2017 al 31 dicembre 2022. Nel periodo evidenziato, il valore medio è stato pari a € 323.680.</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6" name="92e1d9e81470f09b57c1424c2bf1b166.png" descr="_static/temp/92e1d9e81470f09b57c1424c2bf1b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92e1d9e81470f09b57c1424c2bf1b166.png" descr="_static/temp/92e1d9e81470f09b57c1424c2bf1b166.png"/>
                    <pic:cNvPicPr>
                      <a:picLocks noChangeAspect="1" noChangeArrowheads="1"/>
                    </pic:cNvPicPr>
                  </pic:nvPicPr>
                  <pic:blipFill>
                    <a:blip xmlns:r="http://schemas.openxmlformats.org/officeDocument/2006/relationships" r:embed="rId139"/>
                    <a:srcRect/>
                    <a:stretch>
                      <a:fillRect/>
                    </a:stretch>
                  </pic:blipFill>
                  <pic:spPr bwMode="auto">
                    <a:xfrm>
                      <a:off x="0" y="0"/>
                      <a:ext cx="6476365" cy="3266766"/>
                    </a:xfrm>
                    <a:prstGeom prst="rect">
                      <a:avLst/>
                    </a:prstGeom>
                    <a:noFill/>
                  </pic:spPr>
                </pic:pic>
              </a:graphicData>
            </a:graphic>
          </wp:inline>
        </w:drawing>
      </w:r>
    </w:p>
    <w:br w:type="page"/>
    <w:bookmarkEnd w:id="619"/>
    <w:bookmarkEnd w:id="620"/>
    <w:bookmarkEnd w:id="617"/>
    <w:bookmarkEnd w:id="618"/>
    <w:bookmarkStart w:id="621" w:name="_cbd5ad5f1c393b2da0cd9af97a25f753"/>
    <w:bookmarkStart w:id="622" w:name="_22342503b2bc99b0a1e3acaada50dfe1"/>
    <w:p>
      <w:pPr>
        <w:pStyle w:val="Heading2"/>
        <w:keepNext/>
      </w:pPr>
      <w:r>
        <w:t>Variazione delle disponibilità liquide</w:t>
      </w:r>
    </w:p>
    <w:p>
      <w:pPr>
        <w:pStyle w:val="BodyText"/>
        <w:ind w:leftChars="0" w:left="0" w:right="0"/>
      </w:pPr>
      <w:r>
        <w:t xml:space="preserve">La presente sottosezione del </w:t>
      </w:r>
      <w:hyperlink w:anchor="_be9dd59504b6581d5cad29d60c714237">
        <w:r>
          <w:rPr>
            <w:rStyle w:val="Hyperlink"/>
          </w:rPr>
          <w:t>Rendiconto finanziario</w:t>
        </w:r>
      </w:hyperlink>
      <w:r>
        <w:t xml:space="preserve"> è dedicata alla variazione delle disponibilità liquide. Questa rappresenta il flusso monetario finale generato o assorbito nel corso del periodo.</w:t>
      </w:r>
    </w:p>
    <w:p>
      <w:pPr>
        <w:pStyle w:val="BodyText"/>
        <w:ind w:leftChars="0" w:left="0" w:right="0"/>
      </w:pPr>
      <w:r>
        <w:t xml:space="preserve">Il prospetto seguente illustra il dettaglio analitico delle determinanti della voce </w:t>
      </w:r>
      <w:r>
        <w:rPr>
          <w:i/>
          <w:iCs/>
        </w:rPr>
        <w:t>Variazione delle disponibilità liquide</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b6859fb0539189c55efa3c398a82a1d6">
              <w:r>
                <w:rPr>
                  <w:rStyle w:val="Hyperlink"/>
                </w:rPr>
                <w:t>Flussi disponibili per i soci</w:t>
              </w:r>
            </w:hyperlink>
          </w:p>
        </w:tc>
        <w:tc>
          <w:tcPr>
            <w:cnfStyle w:evenVBand="true" w:oddVBand="false" w:firstColumn="false"/>
            <w:tcW w:w="13.727455%" w:type="pct"/>
          </w:tcPr>
          <w:p>
            <w:pPr>
              <w:pStyle w:val="table-level-300"/>
              <w:ind w:leftChars="0" w:left="0" w:right="0"/>
              <w:keepNext/>
            </w:pPr>
            <w:r>
              <w:t>1.232</w:t>
            </w:r>
          </w:p>
        </w:tc>
        <w:tc>
          <w:tcPr>
            <w:cnfStyle w:evenVBand="false" w:oddVBand="true" w:firstColumn="false"/>
            <w:tcW w:w="13.727455%" w:type="pct"/>
          </w:tcPr>
          <w:p>
            <w:pPr>
              <w:pStyle w:val="table-level-300"/>
              <w:ind w:leftChars="0" w:left="0" w:right="0"/>
              <w:keepNext/>
            </w:pPr>
            <w:r>
              <w:t>-247,1</w:t>
            </w:r>
          </w:p>
        </w:tc>
        <w:tc>
          <w:tcPr>
            <w:cnfStyle w:evenVBand="true" w:oddVBand="false" w:firstColumn="false"/>
            <w:tcW w:w="13.727455%" w:type="pct"/>
          </w:tcPr>
          <w:p>
            <w:pPr>
              <w:pStyle w:val="table-level-300"/>
              <w:ind w:leftChars="0" w:left="0" w:right="0"/>
              <w:keepNext/>
            </w:pPr>
            <w:r>
              <w:t>518,9</w:t>
            </w:r>
          </w:p>
        </w:tc>
        <w:tc>
          <w:tcPr>
            <w:cnfStyle w:evenVBand="false" w:oddVBand="true" w:firstColumn="false"/>
            <w:tcW w:w="13.727455%" w:type="pct"/>
          </w:tcPr>
          <w:p>
            <w:pPr>
              <w:pStyle w:val="table-level-300"/>
              <w:ind w:leftChars="0" w:left="0" w:right="0"/>
              <w:keepNext/>
            </w:pPr>
            <w:r>
              <w:t>104,9</w:t>
            </w:r>
          </w:p>
        </w:tc>
        <w:tc>
          <w:tcPr>
            <w:cnfStyle w:evenVBand="true" w:oddVBand="false" w:firstColumn="false"/>
            <w:tcW w:w="13.727455%" w:type="pct"/>
          </w:tcPr>
          <w:p>
            <w:pPr>
              <w:pStyle w:val="table-level-300"/>
              <w:ind w:leftChars="0" w:left="0" w:right="0"/>
              <w:keepNext/>
            </w:pPr>
            <w:r>
              <w:t>134,2</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hyperlink w:anchor="_0cb77d5ceebccf6f2c0e190cc137a29b">
              <w:r>
                <w:rPr>
                  <w:rStyle w:val="Hyperlink"/>
                </w:rPr>
                <w:t>Var. mezzi dei soci</w:t>
              </w:r>
            </w:hyperlink>
          </w:p>
        </w:tc>
        <w:tc>
          <w:tcPr>
            <w:cnfStyle w:evenVBand="true" w:oddVBand="false" w:firstColumn="false"/>
            <w:tcW w:w="13.727455%" w:type="pct"/>
          </w:tcPr>
          <w:p>
            <w:pPr>
              <w:pStyle w:val="table-level-1"/>
              <w:ind w:leftChars="0" w:left="0" w:right="0"/>
              <w:keepNext/>
            </w:pPr>
            <w:r>
              <w:t>-60,5</w:t>
            </w:r>
          </w:p>
        </w:tc>
        <w:tc>
          <w:tcPr>
            <w:cnfStyle w:evenVBand="false" w:oddVBand="true" w:firstColumn="false"/>
            <w:tcW w:w="13.727455%" w:type="pct"/>
          </w:tcPr>
          <w:p>
            <w:pPr>
              <w:pStyle w:val="table-level-1"/>
              <w:ind w:leftChars="0" w:left="0" w:right="0"/>
              <w:keepNext/>
            </w:pPr>
            <w:r>
              <w:t>35,6</w:t>
            </w:r>
          </w:p>
        </w:tc>
        <w:tc>
          <w:tcPr>
            <w:cnfStyle w:evenVBand="true" w:oddVBand="false" w:firstColumn="false"/>
            <w:tcW w:w="13.727455%" w:type="pct"/>
          </w:tcPr>
          <w:p>
            <w:pPr>
              <w:pStyle w:val="table-level-1"/>
              <w:ind w:leftChars="0" w:left="0" w:right="0"/>
              <w:keepNext/>
            </w:pPr>
            <w:r>
              <w:t>-567,3</w:t>
            </w:r>
          </w:p>
        </w:tc>
        <w:tc>
          <w:tcPr>
            <w:cnfStyle w:evenVBand="false" w:oddVBand="true" w:firstColumn="false"/>
            <w:tcW w:w="13.727455%" w:type="pct"/>
          </w:tcPr>
          <w:p>
            <w:pPr>
              <w:pStyle w:val="table-level-1"/>
              <w:ind w:leftChars="0" w:left="0" w:right="0"/>
              <w:keepNext/>
            </w:pPr>
            <w:r>
              <w:t>-294,2</w:t>
            </w:r>
          </w:p>
        </w:tc>
        <w:tc>
          <w:tcPr>
            <w:cnfStyle w:evenVBand="true" w:oddVBand="false" w:firstColumn="false"/>
            <w:tcW w:w="13.727455%" w:type="pct"/>
          </w:tcPr>
          <w:p>
            <w:pPr>
              <w:pStyle w:val="table-level-1"/>
              <w:ind w:leftChars="0" w:left="0" w:right="0"/>
              <w:keepNext/>
            </w:pPr>
            <w:r>
              <w:t>-476,9</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Var. finanziamenti soci</w:t>
            </w:r>
          </w:p>
        </w:tc>
        <w:tc>
          <w:tcPr>
            <w:cnfStyle w:evenVBand="true" w:oddVBand="false" w:firstColumn="false"/>
            <w:tcW w:w="13.727455%" w:type="pct"/>
          </w:tcPr>
          <w:p>
            <w:pPr>
              <w:pStyle w:val="table-level-0"/>
              <w:ind w:leftChars="0" w:left="0" w:right="0"/>
              <w:keepNext/>
            </w:pPr>
            <w:r>
              <w:t>-10</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-20</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Var. patrimonio netto</w:t>
            </w:r>
          </w:p>
        </w:tc>
        <w:tc>
          <w:tcPr>
            <w:cnfStyle w:evenVBand="true" w:oddVBand="false" w:firstColumn="false"/>
            <w:tcW w:w="13.727455%" w:type="pct"/>
          </w:tcPr>
          <w:p>
            <w:pPr>
              <w:pStyle w:val="table-level-0"/>
              <w:ind w:leftChars="0" w:left="0" w:right="0"/>
              <w:keepNext/>
            </w:pPr>
            <w:r>
              <w:t>-50,5</w:t>
            </w:r>
          </w:p>
        </w:tc>
        <w:tc>
          <w:tcPr>
            <w:cnfStyle w:evenVBand="false" w:oddVBand="true" w:firstColumn="false"/>
            <w:tcW w:w="13.727455%" w:type="pct"/>
          </w:tcPr>
          <w:p>
            <w:pPr>
              <w:pStyle w:val="table-level-0"/>
              <w:ind w:leftChars="0" w:left="0" w:right="0"/>
              <w:keepNext/>
            </w:pPr>
            <w:r>
              <w:t>35,6</w:t>
            </w:r>
          </w:p>
        </w:tc>
        <w:tc>
          <w:tcPr>
            <w:cnfStyle w:evenVBand="true" w:oddVBand="false" w:firstColumn="false"/>
            <w:tcW w:w="13.727455%" w:type="pct"/>
          </w:tcPr>
          <w:p>
            <w:pPr>
              <w:pStyle w:val="table-level-0"/>
              <w:ind w:leftChars="0" w:left="0" w:right="0"/>
              <w:keepNext/>
            </w:pPr>
            <w:r>
              <w:t>-567,3</w:t>
            </w:r>
          </w:p>
        </w:tc>
        <w:tc>
          <w:tcPr>
            <w:cnfStyle w:evenVBand="false" w:oddVBand="true" w:firstColumn="false"/>
            <w:tcW w:w="13.727455%" w:type="pct"/>
          </w:tcPr>
          <w:p>
            <w:pPr>
              <w:pStyle w:val="table-level-0"/>
              <w:ind w:leftChars="0" w:left="0" w:right="0"/>
              <w:keepNext/>
            </w:pPr>
            <w:r>
              <w:t>-269,2</w:t>
            </w:r>
          </w:p>
        </w:tc>
        <w:tc>
          <w:tcPr>
            <w:cnfStyle w:evenVBand="true" w:oddVBand="false" w:firstColumn="false"/>
            <w:tcW w:w="13.727455%" w:type="pct"/>
          </w:tcPr>
          <w:p>
            <w:pPr>
              <w:pStyle w:val="table-level-0"/>
              <w:ind w:leftChars="0" w:left="0" w:right="0"/>
              <w:keepNext/>
            </w:pPr>
            <w:r>
              <w:t>-456,9</w:t>
            </w:r>
          </w:p>
        </w:tc>
      </w:tr>
      <w:tr>
        <w:trPr>
          <w:cnfStyle w:evenHBand="false" w:oddHBand="true" w:firstRow="false"/>
          <w:cantSplit/>
        </w:trPr>
        <w:tc>
          <w:tcPr>
            <w:cnfStyle w:evenVBand="false" w:oddVBand="true" w:firstColumn="false"/>
            <w:tcW w:w="31.362725%" w:type="pct"/>
          </w:tcPr>
          <w:p>
            <w:pPr>
              <w:pStyle w:val="index-table-level-300"/>
              <w:ind w:leftChars="0" w:left="0" w:right="0"/>
              <w:keepNext/>
            </w:pPr>
            <w:hyperlink w:anchor="_22342503b2bc99b0a1e3acaada50dfe1">
              <w:r>
                <w:rPr>
                  <w:rStyle w:val="Hyperlink"/>
                </w:rPr>
                <w:t>Variazione disponibilità liquide</w:t>
              </w:r>
            </w:hyperlink>
          </w:p>
        </w:tc>
        <w:tc>
          <w:tcPr>
            <w:cnfStyle w:evenVBand="true" w:oddVBand="false" w:firstColumn="false"/>
            <w:tcW w:w="13.727455%" w:type="pct"/>
          </w:tcPr>
          <w:p>
            <w:pPr>
              <w:pStyle w:val="table-level-300"/>
              <w:ind w:leftChars="0" w:left="0" w:right="0"/>
              <w:keepNext/>
            </w:pPr>
            <w:r>
              <w:t>1.172</w:t>
            </w:r>
          </w:p>
        </w:tc>
        <w:tc>
          <w:tcPr>
            <w:cnfStyle w:evenVBand="false" w:oddVBand="true" w:firstColumn="false"/>
            <w:tcW w:w="13.727455%" w:type="pct"/>
          </w:tcPr>
          <w:p>
            <w:pPr>
              <w:pStyle w:val="table-level-300"/>
              <w:ind w:leftChars="0" w:left="0" w:right="0"/>
              <w:keepNext/>
            </w:pPr>
            <w:r>
              <w:t>-211,5</w:t>
            </w:r>
          </w:p>
        </w:tc>
        <w:tc>
          <w:tcPr>
            <w:cnfStyle w:evenVBand="true" w:oddVBand="false" w:firstColumn="false"/>
            <w:tcW w:w="13.727455%" w:type="pct"/>
          </w:tcPr>
          <w:p>
            <w:pPr>
              <w:pStyle w:val="table-level-300"/>
              <w:ind w:leftChars="0" w:left="0" w:right="0"/>
              <w:keepNext/>
            </w:pPr>
            <w:r>
              <w:t>-48,4</w:t>
            </w:r>
          </w:p>
        </w:tc>
        <w:tc>
          <w:tcPr>
            <w:cnfStyle w:evenVBand="false" w:oddVBand="true" w:firstColumn="false"/>
            <w:tcW w:w="13.727455%" w:type="pct"/>
          </w:tcPr>
          <w:p>
            <w:pPr>
              <w:pStyle w:val="table-level-300"/>
              <w:ind w:leftChars="0" w:left="0" w:right="0"/>
              <w:keepNext/>
            </w:pPr>
            <w:r>
              <w:t>-189,3</w:t>
            </w:r>
          </w:p>
        </w:tc>
        <w:tc>
          <w:tcPr>
            <w:cnfStyle w:evenVBand="true" w:oddVBand="false" w:firstColumn="false"/>
            <w:tcW w:w="13.727455%" w:type="pct"/>
          </w:tcPr>
          <w:p>
            <w:pPr>
              <w:pStyle w:val="table-level-300"/>
              <w:ind w:leftChars="0" w:left="0" w:right="0"/>
              <w:keepNext/>
            </w:pPr>
            <w:r>
              <w:t>-342,7</w:t>
            </w:r>
          </w:p>
        </w:tc>
      </w:tr>
    </w:tbl>
    <w:p>
      <w:pPr>
        <w:pStyle w:val="TableBottomMargin"/>
      </w:pPr>
    </w:p>
    <w:p>
      <w:pPr>
        <w:pStyle w:val="BodyText"/>
        <w:ind w:leftChars="0" w:left="0" w:right="0"/>
      </w:pPr>
      <w:r>
        <w:t xml:space="preserve">Dal prospetto si evince che al 31 dicembre 2022 il valore della voce </w:t>
      </w:r>
      <w:r>
        <w:rPr>
          <w:i/>
          <w:iCs/>
        </w:rPr>
        <w:t>Variazione delle disponibilità liquide</w:t>
      </w:r>
      <w:r>
        <w:t xml:space="preserve"> è pari a € 1.171.661 ed è in crescita del 654% rispetto al 31 dicembre 2021. Inoltre, nel periodo esaminato, la </w:t>
      </w:r>
      <w:r>
        <w:rPr>
          <w:i/>
          <w:iCs/>
        </w:rPr>
        <w:t>Società</w:t>
      </w:r>
      <w:r>
        <w:t xml:space="preserve"> ha incrementato le proprie disponibilità liquide di € 379.768.</w:t>
      </w:r>
    </w:p>
    <w:p>
      <w:pPr>
        <w:pStyle w:val="BodyText"/>
        <w:ind w:leftChars="0" w:left="0" w:right="0"/>
      </w:pPr>
      <w:r>
        <w:t xml:space="preserve">Il grafico seguente mostra l’analisi dell’andamento della voce </w:t>
      </w:r>
      <w:r>
        <w:rPr>
          <w:i/>
          <w:iCs/>
        </w:rPr>
        <w:t>Variazione delle disponibilità liquide</w:t>
      </w:r>
      <w:r>
        <w:t xml:space="preserve"> dal 31 dicembre 2017 al 31 dicembre 2022. Nel periodo evidenziato, il valore medio è stato pari a € 75.954.</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7" name="4e6cc6b3ae93094d69d799ecd3b77d3e.png" descr="_static/temp/4e6cc6b3ae93094d69d799ecd3b77d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4e6cc6b3ae93094d69d799ecd3b77d3e.png" descr="_static/temp/4e6cc6b3ae93094d69d799ecd3b77d3e.png"/>
                    <pic:cNvPicPr>
                      <a:picLocks noChangeAspect="1" noChangeArrowheads="1"/>
                    </pic:cNvPicPr>
                  </pic:nvPicPr>
                  <pic:blipFill>
                    <a:blip xmlns:r="http://schemas.openxmlformats.org/officeDocument/2006/relationships" r:embed="rId140"/>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Il grafico seguente illustra le componenti positive e negative della voce </w:t>
      </w:r>
      <w:r>
        <w:rPr>
          <w:i/>
          <w:iCs/>
        </w:rPr>
        <w:t>Variazione delle disponibilità liquide</w:t>
      </w:r>
      <w:r>
        <w:t>.</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8" name="4ee59e206e8c42c03e8f40c49b9263c4.png" descr="_static/temp/4ee59e206e8c42c03e8f40c49b9263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4ee59e206e8c42c03e8f40c49b9263c4.png" descr="_static/temp/4ee59e206e8c42c03e8f40c49b9263c4.png"/>
                    <pic:cNvPicPr>
                      <a:picLocks noChangeAspect="1" noChangeArrowheads="1"/>
                    </pic:cNvPicPr>
                  </pic:nvPicPr>
                  <pic:blipFill>
                    <a:blip xmlns:r="http://schemas.openxmlformats.org/officeDocument/2006/relationships" r:embed="rId141"/>
                    <a:srcRect/>
                    <a:stretch>
                      <a:fillRect/>
                    </a:stretch>
                  </pic:blipFill>
                  <pic:spPr bwMode="auto">
                    <a:xfrm>
                      <a:off x="0" y="0"/>
                      <a:ext cx="6476365" cy="3266766"/>
                    </a:xfrm>
                    <a:prstGeom prst="rect">
                      <a:avLst/>
                    </a:prstGeom>
                    <a:noFill/>
                  </pic:spPr>
                </pic:pic>
              </a:graphicData>
            </a:graphic>
          </wp:inline>
        </w:drawing>
      </w:r>
    </w:p>
    <w:bookmarkStart w:id="623" w:name="_66ddf205c559ee9e16e5bc1285a4e902"/>
    <w:bookmarkStart w:id="624" w:name="_0cb77d5ceebccf6f2c0e190cc137a29b"/>
    <w:p>
      <w:pPr>
        <w:pStyle w:val="Heading3"/>
        <w:keepNext/>
      </w:pPr>
      <w:r>
        <w:t>Variazione di mezzi dei soci</w:t>
      </w:r>
    </w:p>
    <w:p>
      <w:pPr>
        <w:pStyle w:val="BodyText"/>
        <w:ind w:leftChars="0" w:left="0" w:right="0"/>
      </w:pPr>
      <w:r>
        <w:t xml:space="preserve">La presente sottosezione della </w:t>
      </w:r>
      <w:hyperlink w:anchor="_22342503b2bc99b0a1e3acaada50dfe1">
        <w:r>
          <w:rPr>
            <w:rStyle w:val="Hyperlink"/>
          </w:rPr>
          <w:t>Variazione delle disponibilità liquide</w:t>
        </w:r>
      </w:hyperlink>
      <w:r>
        <w:t xml:space="preserve"> è dedicata alle variazioni dei mezzi dei soci. Questi rappresentano flussi monetari che riguardano le dinamiche di finanziamento soci e patrimonio netto (aumento o rimborso del capitale sociale, distribuzioni di utili e riserve ecc.). Un aumento del capitale della </w:t>
      </w:r>
      <w:r>
        <w:rPr>
          <w:i/>
          <w:iCs/>
        </w:rPr>
        <w:t>Società</w:t>
      </w:r>
      <w:r>
        <w:t xml:space="preserve"> testimonia un incremento di liquidità ↑ (</w:t>
      </w:r>
      <w:r>
        <w:rPr>
          <w:b/>
          <w:bCs/>
        </w:rPr>
        <w:t>+</w:t>
      </w:r>
      <w:r>
        <w:t>). Una diminuzione del suo capitale testimonia, invece, una riduzione di liquidità ↓ (</w:t>
      </w:r>
      <w:r>
        <w:rPr>
          <w:b/>
          <w:bCs/>
        </w:rPr>
        <w:t>‒</w:t>
      </w:r>
      <w:r>
        <w:t>).</w:t>
      </w:r>
    </w:p>
    <w:p>
      <w:pPr>
        <w:pStyle w:val="BodyText"/>
        <w:ind w:leftChars="0" w:left="0" w:right="0"/>
      </w:pPr>
      <w:r>
        <w:t xml:space="preserve">Il prospetto seguente illustra il dettaglio analitico della voce </w:t>
      </w:r>
      <w:r>
        <w:rPr>
          <w:i/>
          <w:iCs/>
        </w:rPr>
        <w:t>Variazione di mezzi dei soci</w:t>
      </w:r>
      <w:r>
        <w:t xml:space="preserve"> dal 31 dicembre 2017 al 31 dicembre 2022.</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ind w:leftChars="0" w:left="0" w:right="0"/>
              <w:keepNext/>
            </w:pPr>
            <w:r>
              <w:t>Valori in migliaia di €</w:t>
            </w: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1"/>
              <w:ind w:leftChars="0" w:left="0" w:right="0"/>
              <w:keepNext/>
            </w:pPr>
            <w:hyperlink w:anchor="_0cb77d5ceebccf6f2c0e190cc137a29b">
              <w:r>
                <w:rPr>
                  <w:rStyle w:val="Hyperlink"/>
                </w:rPr>
                <w:t>Var. mezzi dei soci</w:t>
              </w:r>
            </w:hyperlink>
          </w:p>
        </w:tc>
        <w:tc>
          <w:tcPr>
            <w:cnfStyle w:evenVBand="true" w:oddVBand="false" w:firstColumn="false"/>
            <w:tcW w:w="13.727455%" w:type="pct"/>
          </w:tcPr>
          <w:p>
            <w:pPr>
              <w:pStyle w:val="table-level-1"/>
              <w:ind w:leftChars="0" w:left="0" w:right="0"/>
              <w:keepNext/>
            </w:pPr>
            <w:r>
              <w:t>-60,5</w:t>
            </w:r>
          </w:p>
        </w:tc>
        <w:tc>
          <w:tcPr>
            <w:cnfStyle w:evenVBand="false" w:oddVBand="true" w:firstColumn="false"/>
            <w:tcW w:w="13.727455%" w:type="pct"/>
          </w:tcPr>
          <w:p>
            <w:pPr>
              <w:pStyle w:val="table-level-1"/>
              <w:ind w:leftChars="0" w:left="0" w:right="0"/>
              <w:keepNext/>
            </w:pPr>
            <w:r>
              <w:t>35,6</w:t>
            </w:r>
          </w:p>
        </w:tc>
        <w:tc>
          <w:tcPr>
            <w:cnfStyle w:evenVBand="true" w:oddVBand="false" w:firstColumn="false"/>
            <w:tcW w:w="13.727455%" w:type="pct"/>
          </w:tcPr>
          <w:p>
            <w:pPr>
              <w:pStyle w:val="table-level-1"/>
              <w:ind w:leftChars="0" w:left="0" w:right="0"/>
              <w:keepNext/>
            </w:pPr>
            <w:r>
              <w:t>-567,3</w:t>
            </w:r>
          </w:p>
        </w:tc>
        <w:tc>
          <w:tcPr>
            <w:cnfStyle w:evenVBand="false" w:oddVBand="true" w:firstColumn="false"/>
            <w:tcW w:w="13.727455%" w:type="pct"/>
          </w:tcPr>
          <w:p>
            <w:pPr>
              <w:pStyle w:val="table-level-1"/>
              <w:ind w:leftChars="0" w:left="0" w:right="0"/>
              <w:keepNext/>
            </w:pPr>
            <w:r>
              <w:t>-294,2</w:t>
            </w:r>
          </w:p>
        </w:tc>
        <w:tc>
          <w:tcPr>
            <w:cnfStyle w:evenVBand="true" w:oddVBand="false" w:firstColumn="false"/>
            <w:tcW w:w="13.727455%" w:type="pct"/>
          </w:tcPr>
          <w:p>
            <w:pPr>
              <w:pStyle w:val="table-level-1"/>
              <w:ind w:leftChars="0" w:left="0" w:right="0"/>
              <w:keepNext/>
            </w:pPr>
            <w:r>
              <w:t>-476,9</w:t>
            </w:r>
          </w:p>
        </w:tc>
      </w:tr>
      <w:tr>
        <w:trPr>
          <w:cnfStyle w:evenHBand="true" w:oddHBand="false" w:firstRow="false"/>
          <w:cantSplit/>
        </w:trPr>
        <w:tc>
          <w:tcPr>
            <w:cnfStyle w:evenVBand="false" w:oddVBand="true" w:firstColumn="false"/>
            <w:tcW w:w="31.362725%" w:type="pct"/>
          </w:tcPr>
          <w:p>
            <w:pPr>
              <w:pStyle w:val="index-table-level-0"/>
              <w:ind w:leftChars="0" w:left="0" w:right="0"/>
              <w:keepNext/>
            </w:pPr>
            <w:r>
              <w:t>Var. finanziamenti soci</w:t>
            </w:r>
          </w:p>
        </w:tc>
        <w:tc>
          <w:tcPr>
            <w:cnfStyle w:evenVBand="true" w:oddVBand="false" w:firstColumn="false"/>
            <w:tcW w:w="13.727455%" w:type="pct"/>
          </w:tcPr>
          <w:p>
            <w:pPr>
              <w:pStyle w:val="table-level-0"/>
              <w:ind w:leftChars="0" w:left="0" w:right="0"/>
              <w:keepNext/>
            </w:pPr>
            <w:r>
              <w:t>-10</w:t>
            </w:r>
          </w:p>
        </w:tc>
        <w:tc>
          <w:tcPr>
            <w:cnfStyle w:evenVBand="false" w:oddVBand="true" w:firstColumn="false"/>
            <w:tcW w:w="13.727455%" w:type="pct"/>
          </w:tcPr>
          <w:p>
            <w:pPr>
              <w:pStyle w:val="table-level-0"/>
              <w:ind w:leftChars="0" w:left="0" w:right="0"/>
              <w:keepNext/>
            </w:pPr>
            <w:r>
              <w:t>0</w:t>
            </w:r>
          </w:p>
        </w:tc>
        <w:tc>
          <w:tcPr>
            <w:cnfStyle w:evenVBand="true" w:oddVBand="false" w:firstColumn="false"/>
            <w:tcW w:w="13.727455%" w:type="pct"/>
          </w:tcPr>
          <w:p>
            <w:pPr>
              <w:pStyle w:val="table-level-0"/>
              <w:ind w:leftChars="0" w:left="0" w:right="0"/>
              <w:keepNext/>
            </w:pPr>
            <w:r>
              <w:t>0</w:t>
            </w:r>
          </w:p>
        </w:tc>
        <w:tc>
          <w:tcPr>
            <w:cnfStyle w:evenVBand="false" w:oddVBand="true" w:firstColumn="false"/>
            <w:tcW w:w="13.727455%" w:type="pct"/>
          </w:tcPr>
          <w:p>
            <w:pPr>
              <w:pStyle w:val="table-level-0"/>
              <w:ind w:leftChars="0" w:left="0" w:right="0"/>
              <w:keepNext/>
            </w:pPr>
            <w:r>
              <w:t>-25</w:t>
            </w:r>
          </w:p>
        </w:tc>
        <w:tc>
          <w:tcPr>
            <w:cnfStyle w:evenVBand="true" w:oddVBand="false" w:firstColumn="false"/>
            <w:tcW w:w="13.727455%" w:type="pct"/>
          </w:tcPr>
          <w:p>
            <w:pPr>
              <w:pStyle w:val="table-level-0"/>
              <w:ind w:leftChars="0" w:left="0" w:right="0"/>
              <w:keepNext/>
            </w:pPr>
            <w:r>
              <w:t>-20</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Var. patrimonio netto</w:t>
            </w:r>
          </w:p>
        </w:tc>
        <w:tc>
          <w:tcPr>
            <w:cnfStyle w:evenVBand="true" w:oddVBand="false" w:firstColumn="false"/>
            <w:tcW w:w="13.727455%" w:type="pct"/>
          </w:tcPr>
          <w:p>
            <w:pPr>
              <w:pStyle w:val="table-level-0"/>
              <w:ind w:leftChars="0" w:left="0" w:right="0"/>
              <w:keepNext/>
            </w:pPr>
            <w:r>
              <w:t>-50,5</w:t>
            </w:r>
          </w:p>
        </w:tc>
        <w:tc>
          <w:tcPr>
            <w:cnfStyle w:evenVBand="false" w:oddVBand="true" w:firstColumn="false"/>
            <w:tcW w:w="13.727455%" w:type="pct"/>
          </w:tcPr>
          <w:p>
            <w:pPr>
              <w:pStyle w:val="table-level-0"/>
              <w:ind w:leftChars="0" w:left="0" w:right="0"/>
              <w:keepNext/>
            </w:pPr>
            <w:r>
              <w:t>35,6</w:t>
            </w:r>
          </w:p>
        </w:tc>
        <w:tc>
          <w:tcPr>
            <w:cnfStyle w:evenVBand="true" w:oddVBand="false" w:firstColumn="false"/>
            <w:tcW w:w="13.727455%" w:type="pct"/>
          </w:tcPr>
          <w:p>
            <w:pPr>
              <w:pStyle w:val="table-level-0"/>
              <w:ind w:leftChars="0" w:left="0" w:right="0"/>
              <w:keepNext/>
            </w:pPr>
            <w:r>
              <w:t>-567,3</w:t>
            </w:r>
          </w:p>
        </w:tc>
        <w:tc>
          <w:tcPr>
            <w:cnfStyle w:evenVBand="false" w:oddVBand="true" w:firstColumn="false"/>
            <w:tcW w:w="13.727455%" w:type="pct"/>
          </w:tcPr>
          <w:p>
            <w:pPr>
              <w:pStyle w:val="table-level-0"/>
              <w:ind w:leftChars="0" w:left="0" w:right="0"/>
              <w:keepNext/>
            </w:pPr>
            <w:r>
              <w:t>-269,2</w:t>
            </w:r>
          </w:p>
        </w:tc>
        <w:tc>
          <w:tcPr>
            <w:cnfStyle w:evenVBand="true" w:oddVBand="false" w:firstColumn="false"/>
            <w:tcW w:w="13.727455%" w:type="pct"/>
          </w:tcPr>
          <w:p>
            <w:pPr>
              <w:pStyle w:val="table-level-0"/>
              <w:ind w:leftChars="0" w:left="0" w:right="0"/>
              <w:keepNext/>
            </w:pPr>
            <w:r>
              <w:t>-456,9</w:t>
            </w:r>
          </w:p>
        </w:tc>
      </w:tr>
    </w:tbl>
    <w:p>
      <w:pPr>
        <w:pStyle w:val="TableBottomMargin"/>
      </w:pPr>
    </w:p>
    <w:p>
      <w:pPr>
        <w:pStyle w:val="BodyText"/>
        <w:ind w:leftChars="0" w:left="0" w:right="0"/>
      </w:pPr>
      <w:r>
        <w:t xml:space="preserve">Dal prospetto si evince che al 31 dicembre 2022 la voce </w:t>
      </w:r>
      <w:r>
        <w:rPr>
          <w:i/>
          <w:iCs/>
        </w:rPr>
        <w:t>Variazione di mezzi dei soci</w:t>
      </w:r>
      <w:r>
        <w:t xml:space="preserve"> ha assorbito liquidità per € -60.497.</w:t>
      </w:r>
    </w:p>
    <w:p>
      <w:pPr>
        <w:pStyle w:val="BodyText"/>
        <w:ind w:leftChars="0" w:left="0" w:right="0"/>
      </w:pPr>
      <w:r>
        <w:t xml:space="preserve">Il grafico seguente mostra l’analisi dell’andamento delle componenti della voce </w:t>
      </w:r>
      <w:r>
        <w:rPr>
          <w:i/>
          <w:iCs/>
        </w:rPr>
        <w:t>Variazione di mezzi dei soci</w:t>
      </w:r>
      <w:r>
        <w:t xml:space="preserve"> dal 31 dicembre 2017 al 31 dicembre 2022. Nel periodo evidenziato, il valore medio è stato pari a € -272.656.</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19" name="f0963836e1f10ddb75351426846bb21a.png" descr="_static/temp/f0963836e1f10ddb75351426846bb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f0963836e1f10ddb75351426846bb21a.png" descr="_static/temp/f0963836e1f10ddb75351426846bb21a.png"/>
                    <pic:cNvPicPr>
                      <a:picLocks noChangeAspect="1" noChangeArrowheads="1"/>
                    </pic:cNvPicPr>
                  </pic:nvPicPr>
                  <pic:blipFill>
                    <a:blip xmlns:r="http://schemas.openxmlformats.org/officeDocument/2006/relationships" r:embed="rId142"/>
                    <a:srcRect/>
                    <a:stretch>
                      <a:fillRect/>
                    </a:stretch>
                  </pic:blipFill>
                  <pic:spPr bwMode="auto">
                    <a:xfrm>
                      <a:off x="0" y="0"/>
                      <a:ext cx="6476365" cy="3266766"/>
                    </a:xfrm>
                    <a:prstGeom prst="rect">
                      <a:avLst/>
                    </a:prstGeom>
                    <a:noFill/>
                  </pic:spPr>
                </pic:pic>
              </a:graphicData>
            </a:graphic>
          </wp:inline>
        </w:drawing>
      </w:r>
    </w:p>
    <w:br w:type="page"/>
    <w:bookmarkEnd w:id="623"/>
    <w:bookmarkEnd w:id="624"/>
    <w:bookmarkEnd w:id="621"/>
    <w:bookmarkEnd w:id="622"/>
    <w:bookmarkEnd w:id="594"/>
    <w:bookmarkEnd w:id="595"/>
    <w:bookmarkEnd w:id="596"/>
    <w:bookmarkStart w:id="625" w:name="_0d53367c318bd876ebc517678bf6612b"/>
    <w:bookmarkStart w:id="626" w:name="_b2436b141cae421ef54bc29410f3f5f6"/>
    <w:bookmarkStart w:id="627" w:name="_cbc4f071dbeafa866118f5ce0446fb55"/>
    <w:p>
      <w:pPr>
        <w:pStyle w:val="Heading1"/>
        <w:keepNext/>
        <w:pageBreakBefore w:val="1"/>
      </w:pPr>
      <w:r>
        <w:t>Analisi indici di performance</w:t>
      </w:r>
    </w:p>
    <w:p>
      <w:pPr>
        <w:pStyle w:val="BodyText"/>
        <w:ind w:leftChars="0" w:left="0" w:right="0"/>
      </w:pPr>
      <w:r>
        <w:t xml:space="preserve">Questa sezione contiene l’insieme degli indici che descrivono le performance della </w:t>
      </w:r>
      <w:r>
        <w:rPr>
          <w:i/>
          <w:iCs/>
        </w:rPr>
        <w:t>Società</w:t>
      </w:r>
      <w:r>
        <w:t xml:space="preserve">. Le tabelle che seguono raggruppano gli indici, nel periodo compreso tra il 31 dicembre 2017 e 31 dicembre 2022, secondo tre aree di analisi: solidità, redditività e liquidità. I seguenti capitoli comparano le performance ottenute dalla </w:t>
      </w:r>
      <w:r>
        <w:rPr>
          <w:i/>
          <w:iCs/>
        </w:rPr>
        <w:t>Società</w:t>
      </w:r>
      <w:r>
        <w:t xml:space="preserve"> rispetto alla media del settore a cui fa riferimento.</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Indici di solidità</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d82bda65f985590b54be40fa4e296998">
              <w:r>
                <w:rPr>
                  <w:rStyle w:val="Hyperlink"/>
                </w:rPr>
                <w:t>Indebitamento</w:t>
              </w:r>
            </w:hyperlink>
          </w:p>
        </w:tc>
        <w:tc>
          <w:tcPr>
            <w:cnfStyle w:evenVBand="true" w:oddVBand="false" w:firstColumn="false"/>
            <w:tcW w:w="11.434303%" w:type="pct"/>
          </w:tcPr>
          <w:p>
            <w:pPr>
              <w:pStyle w:val="table-level-1"/>
              <w:ind w:leftChars="0" w:left="0" w:right="0"/>
              <w:keepNext/>
            </w:pPr>
            <w:r>
              <w:t>1,57</w:t>
            </w:r>
          </w:p>
        </w:tc>
        <w:tc>
          <w:tcPr>
            <w:cnfStyle w:evenVBand="false" w:oddVBand="true" w:firstColumn="false"/>
            <w:tcW w:w="11.434303%" w:type="pct"/>
          </w:tcPr>
          <w:p>
            <w:pPr>
              <w:pStyle w:val="table-level-1"/>
              <w:ind w:leftChars="0" w:left="0" w:right="0"/>
              <w:keepNext/>
            </w:pPr>
            <w:r>
              <w:t>1,29</w:t>
            </w:r>
          </w:p>
        </w:tc>
        <w:tc>
          <w:tcPr>
            <w:cnfStyle w:evenVBand="true" w:oddVBand="false" w:firstColumn="false"/>
            <w:tcW w:w="11.434303%" w:type="pct"/>
          </w:tcPr>
          <w:p>
            <w:pPr>
              <w:pStyle w:val="table-level-1"/>
              <w:ind w:leftChars="0" w:left="0" w:right="0"/>
              <w:keepNext/>
            </w:pPr>
            <w:r>
              <w:t>1,74</w:t>
            </w:r>
          </w:p>
        </w:tc>
        <w:tc>
          <w:tcPr>
            <w:cnfStyle w:evenVBand="false" w:oddVBand="true" w:firstColumn="false"/>
            <w:tcW w:w="11.434303%" w:type="pct"/>
          </w:tcPr>
          <w:p>
            <w:pPr>
              <w:pStyle w:val="table-level-1"/>
              <w:ind w:leftChars="0" w:left="0" w:right="0"/>
              <w:keepNext/>
            </w:pPr>
            <w:r>
              <w:t>2,22</w:t>
            </w:r>
          </w:p>
        </w:tc>
        <w:tc>
          <w:tcPr>
            <w:cnfStyle w:evenVBand="true" w:oddVBand="false" w:firstColumn="false"/>
            <w:tcW w:w="11.434303%" w:type="pct"/>
          </w:tcPr>
          <w:p>
            <w:pPr>
              <w:pStyle w:val="table-level-1"/>
              <w:ind w:leftChars="0" w:left="0" w:right="0"/>
              <w:keepNext/>
            </w:pPr>
            <w:r>
              <w:t>2,93</w:t>
            </w:r>
          </w:p>
        </w:tc>
        <w:tc>
          <w:tcPr>
            <w:cnfStyle w:evenVBand="false" w:oddVBand="true" w:firstColumn="false"/>
            <w:tcW w:w="11.434303%" w:type="pct"/>
          </w:tcPr>
          <w:p>
            <w:pPr>
              <w:pStyle w:val="table-level-1"/>
              <w:ind w:leftChars="0" w:left="0" w:right="0"/>
              <w:keepNext/>
            </w:pPr>
            <w:r>
              <w:t>2,46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0d43e06404c1d961431c6db17d9dd83a">
              <w:r>
                <w:rPr>
                  <w:rStyle w:val="Hyperlink"/>
                </w:rPr>
                <w:t>Indebitamento oneroso</w:t>
              </w:r>
            </w:hyperlink>
          </w:p>
        </w:tc>
        <w:tc>
          <w:tcPr>
            <w:cnfStyle w:evenVBand="true" w:oddVBand="false" w:firstColumn="false"/>
            <w:tcW w:w="11.434303%" w:type="pct"/>
          </w:tcPr>
          <w:p>
            <w:pPr>
              <w:pStyle w:val="table-level-1"/>
              <w:ind w:leftChars="0" w:left="0" w:right="0"/>
              <w:keepNext/>
            </w:pPr>
            <w:r>
              <w:t>1,26</w:t>
            </w:r>
          </w:p>
        </w:tc>
        <w:tc>
          <w:tcPr>
            <w:cnfStyle w:evenVBand="false" w:oddVBand="true" w:firstColumn="false"/>
            <w:tcW w:w="11.434303%" w:type="pct"/>
          </w:tcPr>
          <w:p>
            <w:pPr>
              <w:pStyle w:val="table-level-1"/>
              <w:ind w:leftChars="0" w:left="0" w:right="0"/>
              <w:keepNext/>
            </w:pPr>
            <w:r>
              <w:t>0,99</w:t>
            </w:r>
          </w:p>
        </w:tc>
        <w:tc>
          <w:tcPr>
            <w:cnfStyle w:evenVBand="true" w:oddVBand="false" w:firstColumn="false"/>
            <w:tcW w:w="11.434303%" w:type="pct"/>
          </w:tcPr>
          <w:p>
            <w:pPr>
              <w:pStyle w:val="table-level-1"/>
              <w:ind w:leftChars="0" w:left="0" w:right="0"/>
              <w:keepNext/>
            </w:pPr>
            <w:r>
              <w:t>1,36</w:t>
            </w:r>
          </w:p>
        </w:tc>
        <w:tc>
          <w:tcPr>
            <w:cnfStyle w:evenVBand="false" w:oddVBand="true" w:firstColumn="false"/>
            <w:tcW w:w="11.434303%" w:type="pct"/>
          </w:tcPr>
          <w:p>
            <w:pPr>
              <w:pStyle w:val="table-level-1"/>
              <w:ind w:leftChars="0" w:left="0" w:right="0"/>
              <w:keepNext/>
            </w:pPr>
            <w:r>
              <w:t>1,68</w:t>
            </w:r>
          </w:p>
        </w:tc>
        <w:tc>
          <w:tcPr>
            <w:cnfStyle w:evenVBand="true" w:oddVBand="false" w:firstColumn="false"/>
            <w:tcW w:w="11.434303%" w:type="pct"/>
          </w:tcPr>
          <w:p>
            <w:pPr>
              <w:pStyle w:val="table-level-1"/>
              <w:ind w:leftChars="0" w:left="0" w:right="0"/>
              <w:keepNext/>
            </w:pPr>
            <w:r>
              <w:t>2,17</w:t>
            </w:r>
          </w:p>
        </w:tc>
        <w:tc>
          <w:tcPr>
            <w:cnfStyle w:evenVBand="false" w:oddVBand="true" w:firstColumn="false"/>
            <w:tcW w:w="11.434303%" w:type="pct"/>
          </w:tcPr>
          <w:p>
            <w:pPr>
              <w:pStyle w:val="table-level-1"/>
              <w:ind w:leftChars="0" w:left="0" w:right="0"/>
              <w:keepNext/>
            </w:pPr>
            <w:r>
              <w:t>1,94</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a49117249eadff59c07f357a6ec0d6be">
              <w:r>
                <w:rPr>
                  <w:rStyle w:val="Hyperlink"/>
                </w:rPr>
                <w:t>Capacità di rimborso</w:t>
              </w:r>
            </w:hyperlink>
          </w:p>
        </w:tc>
        <w:tc>
          <w:tcPr>
            <w:cnfStyle w:evenVBand="true" w:oddVBand="false" w:firstColumn="false"/>
            <w:tcW w:w="11.434303%" w:type="pct"/>
          </w:tcPr>
          <w:p>
            <w:pPr>
              <w:pStyle w:val="table-level-1"/>
              <w:ind w:leftChars="0" w:left="0" w:right="0"/>
              <w:keepNext/>
            </w:pPr>
            <w:r>
              <w:t>2,99</w:t>
            </w:r>
          </w:p>
        </w:tc>
        <w:tc>
          <w:tcPr>
            <w:cnfStyle w:evenVBand="false" w:oddVBand="true" w:firstColumn="false"/>
            <w:tcW w:w="11.434303%" w:type="pct"/>
          </w:tcPr>
          <w:p>
            <w:pPr>
              <w:pStyle w:val="table-level-1"/>
              <w:ind w:leftChars="0" w:left="0" w:right="0"/>
              <w:keepNext/>
            </w:pPr>
            <w:r>
              <w:t>1,88</w:t>
            </w:r>
          </w:p>
        </w:tc>
        <w:tc>
          <w:tcPr>
            <w:cnfStyle w:evenVBand="true" w:oddVBand="false" w:firstColumn="false"/>
            <w:tcW w:w="11.434303%" w:type="pct"/>
          </w:tcPr>
          <w:p>
            <w:pPr>
              <w:pStyle w:val="table-level-1"/>
              <w:ind w:leftChars="0" w:left="0" w:right="0"/>
              <w:keepNext/>
            </w:pPr>
            <w:r>
              <w:t>1,76</w:t>
            </w:r>
          </w:p>
        </w:tc>
        <w:tc>
          <w:tcPr>
            <w:cnfStyle w:evenVBand="false" w:oddVBand="true" w:firstColumn="false"/>
            <w:tcW w:w="11.434303%" w:type="pct"/>
          </w:tcPr>
          <w:p>
            <w:pPr>
              <w:pStyle w:val="table-level-1"/>
              <w:ind w:leftChars="0" w:left="0" w:right="0"/>
              <w:keepNext/>
            </w:pPr>
            <w:r>
              <w:t>2,19</w:t>
            </w:r>
          </w:p>
        </w:tc>
        <w:tc>
          <w:tcPr>
            <w:cnfStyle w:evenVBand="true" w:oddVBand="false" w:firstColumn="false"/>
            <w:tcW w:w="11.434303%" w:type="pct"/>
          </w:tcPr>
          <w:p>
            <w:pPr>
              <w:pStyle w:val="table-level-1"/>
              <w:ind w:leftChars="0" w:left="0" w:right="0"/>
              <w:keepNext/>
            </w:pPr>
            <w:r>
              <w:t>3,56</w:t>
            </w:r>
          </w:p>
        </w:tc>
        <w:tc>
          <w:tcPr>
            <w:cnfStyle w:evenVBand="false" w:oddVBand="true" w:firstColumn="false"/>
            <w:tcW w:w="11.434303%" w:type="pct"/>
          </w:tcPr>
          <w:p>
            <w:pPr>
              <w:pStyle w:val="table-level-1"/>
              <w:ind w:leftChars="0" w:left="0" w:right="0"/>
              <w:keepNext/>
            </w:pPr>
            <w:r>
              <w:t>2,85</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fc9e963db462c308b65ca1c2a42c5739">
              <w:r>
                <w:rPr>
                  <w:rStyle w:val="Hyperlink"/>
                </w:rPr>
                <w:t>Solidità patrimoniale</w:t>
              </w:r>
            </w:hyperlink>
          </w:p>
        </w:tc>
        <w:tc>
          <w:tcPr>
            <w:cnfStyle w:evenVBand="true" w:oddVBand="false" w:firstColumn="false"/>
            <w:tcW w:w="11.434303%" w:type="pct"/>
          </w:tcPr>
          <w:p>
            <w:pPr>
              <w:pStyle w:val="table-level-1"/>
              <w:ind w:leftChars="0" w:left="0" w:right="0"/>
              <w:keepNext/>
            </w:pPr>
            <w:r>
              <w:t>0,53</w:t>
            </w:r>
          </w:p>
        </w:tc>
        <w:tc>
          <w:tcPr>
            <w:cnfStyle w:evenVBand="false" w:oddVBand="true" w:firstColumn="false"/>
            <w:tcW w:w="11.434303%" w:type="pct"/>
          </w:tcPr>
          <w:p>
            <w:pPr>
              <w:pStyle w:val="table-level-1"/>
              <w:ind w:leftChars="0" w:left="0" w:right="0"/>
              <w:keepNext/>
            </w:pPr>
            <w:r>
              <w:t>0,54</w:t>
            </w:r>
          </w:p>
        </w:tc>
        <w:tc>
          <w:tcPr>
            <w:cnfStyle w:evenVBand="true" w:oddVBand="false" w:firstColumn="false"/>
            <w:tcW w:w="11.434303%" w:type="pct"/>
          </w:tcPr>
          <w:p>
            <w:pPr>
              <w:pStyle w:val="table-level-1"/>
              <w:ind w:leftChars="0" w:left="0" w:right="0"/>
              <w:keepNext/>
            </w:pPr>
            <w:r>
              <w:t>0,49</w:t>
            </w:r>
          </w:p>
        </w:tc>
        <w:tc>
          <w:tcPr>
            <w:cnfStyle w:evenVBand="false" w:oddVBand="true" w:firstColumn="false"/>
            <w:tcW w:w="11.434303%" w:type="pct"/>
          </w:tcPr>
          <w:p>
            <w:pPr>
              <w:pStyle w:val="table-level-1"/>
              <w:ind w:leftChars="0" w:left="0" w:right="0"/>
              <w:keepNext/>
            </w:pPr>
            <w:r>
              <w:t>0,43</w:t>
            </w:r>
          </w:p>
        </w:tc>
        <w:tc>
          <w:tcPr>
            <w:cnfStyle w:evenVBand="true" w:oddVBand="false" w:firstColumn="false"/>
            <w:tcW w:w="11.434303%" w:type="pct"/>
          </w:tcPr>
          <w:p>
            <w:pPr>
              <w:pStyle w:val="table-level-1"/>
              <w:ind w:leftChars="0" w:left="0" w:right="0"/>
              <w:keepNext/>
            </w:pPr>
            <w:r>
              <w:t>0,4</w:t>
            </w:r>
          </w:p>
        </w:tc>
        <w:tc>
          <w:tcPr>
            <w:cnfStyle w:evenVBand="false" w:oddVBand="true" w:firstColumn="false"/>
            <w:tcW w:w="11.434303%" w:type="pct"/>
          </w:tcPr>
          <w:p>
            <w:pPr>
              <w:pStyle w:val="table-level-1"/>
              <w:ind w:leftChars="0" w:left="0" w:right="0"/>
              <w:keepNext/>
            </w:pPr>
            <w:r>
              <w:t>0,51</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9f97d7a192145bbfa44509e17dd98e1">
              <w:r>
                <w:rPr>
                  <w:rStyle w:val="Hyperlink"/>
                </w:rPr>
                <w:t>Grado di obsolescenza</w:t>
              </w:r>
            </w:hyperlink>
          </w:p>
        </w:tc>
        <w:tc>
          <w:tcPr>
            <w:cnfStyle w:evenVBand="true" w:oddVBand="false" w:firstColumn="false"/>
            <w:tcW w:w="11.434303%" w:type="pct"/>
          </w:tcPr>
          <w:p>
            <w:pPr>
              <w:pStyle w:val="table-level-1"/>
              <w:ind w:leftChars="0" w:left="0" w:right="0"/>
              <w:keepNext/>
            </w:pPr>
            <w:r>
              <w:t>0,26</w:t>
            </w:r>
          </w:p>
        </w:tc>
        <w:tc>
          <w:tcPr>
            <w:cnfStyle w:evenVBand="false" w:oddVBand="true" w:firstColumn="false"/>
            <w:tcW w:w="11.434303%" w:type="pct"/>
          </w:tcPr>
          <w:p>
            <w:pPr>
              <w:pStyle w:val="table-level-1"/>
              <w:ind w:leftChars="0" w:left="0" w:right="0"/>
              <w:keepNext/>
            </w:pPr>
            <w:r>
              <w:t>0,25</w:t>
            </w:r>
          </w:p>
        </w:tc>
        <w:tc>
          <w:tcPr>
            <w:cnfStyle w:evenVBand="true" w:oddVBand="false" w:firstColumn="false"/>
            <w:tcW w:w="11.434303%" w:type="pct"/>
          </w:tcPr>
          <w:p>
            <w:pPr>
              <w:pStyle w:val="table-level-1"/>
              <w:ind w:leftChars="0" w:left="0" w:right="0"/>
              <w:keepNext/>
            </w:pPr>
            <w:r>
              <w:t>0,27</w:t>
            </w:r>
          </w:p>
        </w:tc>
        <w:tc>
          <w:tcPr>
            <w:cnfStyle w:evenVBand="false" w:oddVBand="true" w:firstColumn="false"/>
            <w:tcW w:w="11.434303%" w:type="pct"/>
          </w:tcPr>
          <w:p>
            <w:pPr>
              <w:pStyle w:val="table-level-1"/>
              <w:ind w:leftChars="0" w:left="0" w:right="0"/>
              <w:keepNext/>
            </w:pPr>
            <w:r>
              <w:t>0,25</w:t>
            </w:r>
          </w:p>
        </w:tc>
        <w:tc>
          <w:tcPr>
            <w:cnfStyle w:evenVBand="true" w:oddVBand="false" w:firstColumn="false"/>
            <w:tcW w:w="11.434303%" w:type="pct"/>
          </w:tcPr>
          <w:p>
            <w:pPr>
              <w:pStyle w:val="table-level-1"/>
              <w:ind w:leftChars="0" w:left="0" w:right="0"/>
              <w:keepNext/>
            </w:pPr>
            <w:r>
              <w:t>0,25</w:t>
            </w:r>
          </w:p>
        </w:tc>
        <w:tc>
          <w:tcPr>
            <w:cnfStyle w:evenVBand="false" w:oddVBand="true" w:firstColumn="false"/>
            <w:tcW w:w="11.434303%" w:type="pct"/>
          </w:tcPr>
          <w:p>
            <w:pPr>
              <w:pStyle w:val="table-level-1"/>
              <w:ind w:leftChars="0" w:left="0" w:right="0"/>
              <w:keepNext/>
            </w:pPr>
            <w:r>
              <w:t>0,25</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e35e80d9c9dd8eab2f82e16a21d1ef9d">
              <w:r>
                <w:rPr>
                  <w:rStyle w:val="Hyperlink"/>
                </w:rPr>
                <w:t>Costo medio finanziamenti [%]</w:t>
              </w:r>
            </w:hyperlink>
          </w:p>
        </w:tc>
        <w:tc>
          <w:tcPr>
            <w:cnfStyle w:evenVBand="true" w:oddVBand="false" w:firstColumn="false"/>
            <w:tcW w:w="11.434303%" w:type="pct"/>
          </w:tcPr>
          <w:p>
            <w:pPr>
              <w:pStyle w:val="table-level-1"/>
              <w:ind w:leftChars="0" w:left="0" w:right="0"/>
              <w:keepNext/>
            </w:pPr>
            <w:r>
              <w:t>5,6</w:t>
            </w:r>
          </w:p>
        </w:tc>
        <w:tc>
          <w:tcPr>
            <w:cnfStyle w:evenVBand="false" w:oddVBand="true" w:firstColumn="false"/>
            <w:tcW w:w="11.434303%" w:type="pct"/>
          </w:tcPr>
          <w:p>
            <w:pPr>
              <w:pStyle w:val="table-level-1"/>
              <w:ind w:leftChars="0" w:left="0" w:right="0"/>
              <w:keepNext/>
            </w:pPr>
            <w:r>
              <w:t>6,59</w:t>
            </w:r>
          </w:p>
        </w:tc>
        <w:tc>
          <w:tcPr>
            <w:cnfStyle w:evenVBand="true" w:oddVBand="false" w:firstColumn="false"/>
            <w:tcW w:w="11.434303%" w:type="pct"/>
          </w:tcPr>
          <w:p>
            <w:pPr>
              <w:pStyle w:val="table-level-1"/>
              <w:ind w:leftChars="0" w:left="0" w:right="0"/>
              <w:keepNext/>
            </w:pPr>
            <w:r>
              <w:t>6,4</w:t>
            </w:r>
          </w:p>
        </w:tc>
        <w:tc>
          <w:tcPr>
            <w:cnfStyle w:evenVBand="false" w:oddVBand="true" w:firstColumn="false"/>
            <w:tcW w:w="11.434303%" w:type="pct"/>
          </w:tcPr>
          <w:p>
            <w:pPr>
              <w:pStyle w:val="table-level-1"/>
              <w:ind w:leftChars="0" w:left="0" w:right="0"/>
              <w:keepNext/>
            </w:pPr>
            <w:r>
              <w:t>6,2</w:t>
            </w:r>
          </w:p>
        </w:tc>
        <w:tc>
          <w:tcPr>
            <w:cnfStyle w:evenVBand="true" w:oddVBand="false" w:firstColumn="false"/>
            <w:tcW w:w="11.434303%" w:type="pct"/>
          </w:tcPr>
          <w:p>
            <w:pPr>
              <w:pStyle w:val="table-level-1"/>
              <w:ind w:leftChars="0" w:left="0" w:right="0"/>
              <w:keepNext/>
            </w:pPr>
            <w:r>
              <w:t>6,13</w:t>
            </w:r>
          </w:p>
        </w:tc>
        <w:tc>
          <w:tcPr>
            <w:cnfStyle w:evenVBand="false" w:oddVBand="true" w:firstColumn="false"/>
            <w:tcW w:w="11.434303%" w:type="pct"/>
          </w:tcPr>
          <w:p>
            <w:pPr>
              <w:pStyle w:val="table-level-1"/>
              <w:ind w:leftChars="0" w:left="0" w:right="0"/>
              <w:keepNext/>
            </w:pPr>
            <w:r>
              <w:t>-</w:t>
            </w:r>
          </w:p>
        </w:tc>
      </w:tr>
    </w:tbl>
    <w:p>
      <w:pPr>
        <w:pStyle w:val="TableBottomMargin"/>
      </w:pP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Indici di redditività</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8fac259ec403ee51d9955bbdc2125042">
              <w:r>
                <w:rPr>
                  <w:rStyle w:val="Hyperlink"/>
                </w:rPr>
                <w:t>ROE [%]</w:t>
              </w:r>
            </w:hyperlink>
          </w:p>
        </w:tc>
        <w:tc>
          <w:tcPr>
            <w:cnfStyle w:evenVBand="true" w:oddVBand="false" w:firstColumn="false"/>
            <w:tcW w:w="11.434303%" w:type="pct"/>
          </w:tcPr>
          <w:p>
            <w:pPr>
              <w:pStyle w:val="table-level-1"/>
              <w:ind w:leftChars="0" w:left="0" w:right="0"/>
              <w:keepNext/>
            </w:pPr>
            <w:r>
              <w:t>18,5</w:t>
            </w:r>
          </w:p>
        </w:tc>
        <w:tc>
          <w:tcPr>
            <w:cnfStyle w:evenVBand="false" w:oddVBand="true" w:firstColumn="false"/>
            <w:tcW w:w="11.434303%" w:type="pct"/>
          </w:tcPr>
          <w:p>
            <w:pPr>
              <w:pStyle w:val="table-level-1"/>
              <w:ind w:leftChars="0" w:left="0" w:right="0"/>
              <w:keepNext/>
            </w:pPr>
            <w:r>
              <w:t>26,2</w:t>
            </w:r>
          </w:p>
        </w:tc>
        <w:tc>
          <w:tcPr>
            <w:cnfStyle w:evenVBand="true" w:oddVBand="false" w:firstColumn="false"/>
            <w:tcW w:w="11.434303%" w:type="pct"/>
          </w:tcPr>
          <w:p>
            <w:pPr>
              <w:pStyle w:val="table-level-1"/>
              <w:ind w:leftChars="0" w:left="0" w:right="0"/>
              <w:keepNext/>
            </w:pPr>
            <w:r>
              <w:t>41,9</w:t>
            </w:r>
          </w:p>
        </w:tc>
        <w:tc>
          <w:tcPr>
            <w:cnfStyle w:evenVBand="false" w:oddVBand="true" w:firstColumn="false"/>
            <w:tcW w:w="11.434303%" w:type="pct"/>
          </w:tcPr>
          <w:p>
            <w:pPr>
              <w:pStyle w:val="table-level-1"/>
              <w:ind w:leftChars="0" w:left="0" w:right="0"/>
              <w:keepNext/>
            </w:pPr>
            <w:r>
              <w:t>39,9</w:t>
            </w:r>
          </w:p>
        </w:tc>
        <w:tc>
          <w:tcPr>
            <w:cnfStyle w:evenVBand="true" w:oddVBand="false" w:firstColumn="false"/>
            <w:tcW w:w="11.434303%" w:type="pct"/>
          </w:tcPr>
          <w:p>
            <w:pPr>
              <w:pStyle w:val="table-level-1"/>
              <w:ind w:leftChars="0" w:left="0" w:right="0"/>
              <w:keepNext/>
            </w:pPr>
            <w:r>
              <w:t>24,4</w:t>
            </w:r>
          </w:p>
        </w:tc>
        <w:tc>
          <w:tcPr>
            <w:cnfStyle w:evenVBand="false" w:oddVBand="true" w:firstColumn="false"/>
            <w:tcW w:w="11.434303%" w:type="pct"/>
          </w:tcPr>
          <w:p>
            <w:pPr>
              <w:pStyle w:val="table-level-1"/>
              <w:ind w:leftChars="0" w:left="0" w:right="0"/>
              <w:keepNext/>
            </w:pPr>
            <w:r>
              <w:t>36,3</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2ec38e3311707734fa7f2c44f616e391">
              <w:r>
                <w:rPr>
                  <w:rStyle w:val="Hyperlink"/>
                </w:rPr>
                <w:t>ROI [%]</w:t>
              </w:r>
            </w:hyperlink>
          </w:p>
        </w:tc>
        <w:tc>
          <w:tcPr>
            <w:cnfStyle w:evenVBand="true" w:oddVBand="false" w:firstColumn="false"/>
            <w:tcW w:w="11.434303%" w:type="pct"/>
          </w:tcPr>
          <w:p>
            <w:pPr>
              <w:pStyle w:val="table-level-1"/>
              <w:ind w:leftChars="0" w:left="0" w:right="0"/>
              <w:keepNext/>
            </w:pPr>
            <w:r>
              <w:t>16,8</w:t>
            </w:r>
          </w:p>
        </w:tc>
        <w:tc>
          <w:tcPr>
            <w:cnfStyle w:evenVBand="false" w:oddVBand="true" w:firstColumn="false"/>
            <w:tcW w:w="11.434303%" w:type="pct"/>
          </w:tcPr>
          <w:p>
            <w:pPr>
              <w:pStyle w:val="table-level-1"/>
              <w:ind w:leftChars="0" w:left="0" w:right="0"/>
              <w:keepNext/>
            </w:pPr>
            <w:r>
              <w:t>22,2</w:t>
            </w:r>
          </w:p>
        </w:tc>
        <w:tc>
          <w:tcPr>
            <w:cnfStyle w:evenVBand="true" w:oddVBand="false" w:firstColumn="false"/>
            <w:tcW w:w="11.434303%" w:type="pct"/>
          </w:tcPr>
          <w:p>
            <w:pPr>
              <w:pStyle w:val="table-level-1"/>
              <w:ind w:leftChars="0" w:left="0" w:right="0"/>
              <w:keepNext/>
            </w:pPr>
            <w:r>
              <w:t>30,7</w:t>
            </w:r>
          </w:p>
        </w:tc>
        <w:tc>
          <w:tcPr>
            <w:cnfStyle w:evenVBand="false" w:oddVBand="true" w:firstColumn="false"/>
            <w:tcW w:w="11.434303%" w:type="pct"/>
          </w:tcPr>
          <w:p>
            <w:pPr>
              <w:pStyle w:val="table-level-1"/>
              <w:ind w:leftChars="0" w:left="0" w:right="0"/>
              <w:keepNext/>
            </w:pPr>
            <w:r>
              <w:t>26,7</w:t>
            </w:r>
          </w:p>
        </w:tc>
        <w:tc>
          <w:tcPr>
            <w:cnfStyle w:evenVBand="true" w:oddVBand="false" w:firstColumn="false"/>
            <w:tcW w:w="11.434303%" w:type="pct"/>
          </w:tcPr>
          <w:p>
            <w:pPr>
              <w:pStyle w:val="table-level-1"/>
              <w:ind w:leftChars="0" w:left="0" w:right="0"/>
              <w:keepNext/>
            </w:pPr>
            <w:r>
              <w:t>17,4</w:t>
            </w:r>
          </w:p>
        </w:tc>
        <w:tc>
          <w:tcPr>
            <w:cnfStyle w:evenVBand="false" w:oddVBand="true" w:firstColumn="false"/>
            <w:tcW w:w="11.434303%" w:type="pct"/>
          </w:tcPr>
          <w:p>
            <w:pPr>
              <w:pStyle w:val="table-level-1"/>
              <w:ind w:leftChars="0" w:left="0" w:right="0"/>
              <w:keepNext/>
            </w:pPr>
            <w:r>
              <w:t>25,1</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47bebc895db26ffd7bd924add6836942">
              <w:r>
                <w:rPr>
                  <w:rStyle w:val="Hyperlink"/>
                </w:rPr>
                <w:t>ROS [%]</w:t>
              </w:r>
            </w:hyperlink>
          </w:p>
        </w:tc>
        <w:tc>
          <w:tcPr>
            <w:cnfStyle w:evenVBand="true" w:oddVBand="false" w:firstColumn="false"/>
            <w:tcW w:w="11.434303%" w:type="pct"/>
          </w:tcPr>
          <w:p>
            <w:pPr>
              <w:pStyle w:val="table-level-1"/>
              <w:ind w:leftChars="0" w:left="0" w:right="0"/>
              <w:keepNext/>
            </w:pPr>
            <w:r>
              <w:t>17</w:t>
            </w:r>
          </w:p>
        </w:tc>
        <w:tc>
          <w:tcPr>
            <w:cnfStyle w:evenVBand="false" w:oddVBand="true" w:firstColumn="false"/>
            <w:tcW w:w="11.434303%" w:type="pct"/>
          </w:tcPr>
          <w:p>
            <w:pPr>
              <w:pStyle w:val="table-level-1"/>
              <w:ind w:leftChars="0" w:left="0" w:right="0"/>
              <w:keepNext/>
            </w:pPr>
            <w:r>
              <w:t>22,4</w:t>
            </w:r>
          </w:p>
        </w:tc>
        <w:tc>
          <w:tcPr>
            <w:cnfStyle w:evenVBand="true" w:oddVBand="false" w:firstColumn="false"/>
            <w:tcW w:w="11.434303%" w:type="pct"/>
          </w:tcPr>
          <w:p>
            <w:pPr>
              <w:pStyle w:val="table-level-1"/>
              <w:ind w:leftChars="0" w:left="0" w:right="0"/>
              <w:keepNext/>
            </w:pPr>
            <w:r>
              <w:t>27,3</w:t>
            </w:r>
          </w:p>
        </w:tc>
        <w:tc>
          <w:tcPr>
            <w:cnfStyle w:evenVBand="false" w:oddVBand="true" w:firstColumn="false"/>
            <w:tcW w:w="11.434303%" w:type="pct"/>
          </w:tcPr>
          <w:p>
            <w:pPr>
              <w:pStyle w:val="table-level-1"/>
              <w:ind w:leftChars="0" w:left="0" w:right="0"/>
              <w:keepNext/>
            </w:pPr>
            <w:r>
              <w:t>24,4</w:t>
            </w:r>
          </w:p>
        </w:tc>
        <w:tc>
          <w:tcPr>
            <w:cnfStyle w:evenVBand="true" w:oddVBand="false" w:firstColumn="false"/>
            <w:tcW w:w="11.434303%" w:type="pct"/>
          </w:tcPr>
          <w:p>
            <w:pPr>
              <w:pStyle w:val="table-level-1"/>
              <w:ind w:leftChars="0" w:left="0" w:right="0"/>
              <w:keepNext/>
            </w:pPr>
            <w:r>
              <w:t>17,5</w:t>
            </w:r>
          </w:p>
        </w:tc>
        <w:tc>
          <w:tcPr>
            <w:cnfStyle w:evenVBand="false" w:oddVBand="true" w:firstColumn="false"/>
            <w:tcW w:w="11.434303%" w:type="pct"/>
          </w:tcPr>
          <w:p>
            <w:pPr>
              <w:pStyle w:val="table-level-1"/>
              <w:ind w:leftChars="0" w:left="0" w:right="0"/>
              <w:keepNext/>
            </w:pPr>
            <w:r>
              <w:t>22,9</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2ca3580af2ba30ea5c1e76d6a5a107f7">
              <w:r>
                <w:rPr>
                  <w:rStyle w:val="Hyperlink"/>
                </w:rPr>
                <w:t>Rotazione del CIN</w:t>
              </w:r>
            </w:hyperlink>
          </w:p>
        </w:tc>
        <w:tc>
          <w:tcPr>
            <w:cnfStyle w:evenVBand="true" w:oddVBand="false" w:firstColumn="false"/>
            <w:tcW w:w="11.434303%" w:type="pct"/>
          </w:tcPr>
          <w:p>
            <w:pPr>
              <w:pStyle w:val="table-level-1"/>
              <w:ind w:leftChars="0" w:left="0" w:right="0"/>
              <w:keepNext/>
            </w:pPr>
            <w:r>
              <w:t>0,98</w:t>
            </w:r>
          </w:p>
        </w:tc>
        <w:tc>
          <w:tcPr>
            <w:cnfStyle w:evenVBand="false" w:oddVBand="true" w:firstColumn="false"/>
            <w:tcW w:w="11.434303%" w:type="pct"/>
          </w:tcPr>
          <w:p>
            <w:pPr>
              <w:pStyle w:val="table-level-1"/>
              <w:ind w:leftChars="0" w:left="0" w:right="0"/>
              <w:keepNext/>
            </w:pPr>
            <w:r>
              <w:t>0,99</w:t>
            </w:r>
          </w:p>
        </w:tc>
        <w:tc>
          <w:tcPr>
            <w:cnfStyle w:evenVBand="true" w:oddVBand="false" w:firstColumn="false"/>
            <w:tcW w:w="11.434303%" w:type="pct"/>
          </w:tcPr>
          <w:p>
            <w:pPr>
              <w:pStyle w:val="table-level-1"/>
              <w:ind w:leftChars="0" w:left="0" w:right="0"/>
              <w:keepNext/>
            </w:pPr>
            <w:r>
              <w:t>1,12</w:t>
            </w:r>
          </w:p>
        </w:tc>
        <w:tc>
          <w:tcPr>
            <w:cnfStyle w:evenVBand="false" w:oddVBand="true" w:firstColumn="false"/>
            <w:tcW w:w="11.434303%" w:type="pct"/>
          </w:tcPr>
          <w:p>
            <w:pPr>
              <w:pStyle w:val="table-level-1"/>
              <w:ind w:leftChars="0" w:left="0" w:right="0"/>
              <w:keepNext/>
            </w:pPr>
            <w:r>
              <w:t>1,09</w:t>
            </w:r>
          </w:p>
        </w:tc>
        <w:tc>
          <w:tcPr>
            <w:cnfStyle w:evenVBand="true" w:oddVBand="false" w:firstColumn="false"/>
            <w:tcW w:w="11.434303%" w:type="pct"/>
          </w:tcPr>
          <w:p>
            <w:pPr>
              <w:pStyle w:val="table-level-1"/>
              <w:ind w:leftChars="0" w:left="0" w:right="0"/>
              <w:keepNext/>
            </w:pPr>
            <w:r>
              <w:t>1</w:t>
            </w:r>
          </w:p>
        </w:tc>
        <w:tc>
          <w:tcPr>
            <w:cnfStyle w:evenVBand="false" w:oddVBand="true" w:firstColumn="false"/>
            <w:tcW w:w="11.434303%" w:type="pct"/>
          </w:tcPr>
          <w:p>
            <w:pPr>
              <w:pStyle w:val="table-level-1"/>
              <w:ind w:leftChars="0" w:left="0" w:right="0"/>
              <w:keepNext/>
            </w:pPr>
            <w:r>
              <w:t>1,09</w:t>
            </w:r>
          </w:p>
        </w:tc>
      </w:tr>
    </w:tbl>
    <w:p>
      <w:pPr>
        <w:pStyle w:val="TableBottomMargin"/>
      </w:pP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Indici di liquidità</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0ad1be71d8145c251c9a5ba2511a003">
              <w:r>
                <w:rPr>
                  <w:rStyle w:val="Hyperlink"/>
                </w:rPr>
                <w:t>Liquidità primaria</w:t>
              </w:r>
            </w:hyperlink>
          </w:p>
        </w:tc>
        <w:tc>
          <w:tcPr>
            <w:cnfStyle w:evenVBand="true" w:oddVBand="false" w:firstColumn="false"/>
            <w:tcW w:w="11.434303%" w:type="pct"/>
          </w:tcPr>
          <w:p>
            <w:pPr>
              <w:pStyle w:val="table-level-1"/>
              <w:ind w:leftChars="0" w:left="0" w:right="0"/>
              <w:keepNext/>
            </w:pPr>
            <w:r>
              <w:t>1,29</w:t>
            </w:r>
          </w:p>
        </w:tc>
        <w:tc>
          <w:tcPr>
            <w:cnfStyle w:evenVBand="false" w:oddVBand="true" w:firstColumn="false"/>
            <w:tcW w:w="11.434303%" w:type="pct"/>
          </w:tcPr>
          <w:p>
            <w:pPr>
              <w:pStyle w:val="table-level-1"/>
              <w:ind w:leftChars="0" w:left="0" w:right="0"/>
              <w:keepNext/>
            </w:pPr>
            <w:r>
              <w:t>0,81</w:t>
            </w:r>
          </w:p>
        </w:tc>
        <w:tc>
          <w:tcPr>
            <w:cnfStyle w:evenVBand="true" w:oddVBand="false" w:firstColumn="false"/>
            <w:tcW w:w="11.434303%" w:type="pct"/>
          </w:tcPr>
          <w:p>
            <w:pPr>
              <w:pStyle w:val="table-level-1"/>
              <w:ind w:leftChars="0" w:left="0" w:right="0"/>
              <w:keepNext/>
            </w:pPr>
            <w:r>
              <w:t>1</w:t>
            </w:r>
          </w:p>
        </w:tc>
        <w:tc>
          <w:tcPr>
            <w:cnfStyle w:evenVBand="false" w:oddVBand="true" w:firstColumn="false"/>
            <w:tcW w:w="11.434303%" w:type="pct"/>
          </w:tcPr>
          <w:p>
            <w:pPr>
              <w:pStyle w:val="table-level-1"/>
              <w:ind w:leftChars="0" w:left="0" w:right="0"/>
              <w:keepNext/>
            </w:pPr>
            <w:r>
              <w:t>0,93</w:t>
            </w:r>
          </w:p>
        </w:tc>
        <w:tc>
          <w:tcPr>
            <w:cnfStyle w:evenVBand="true" w:oddVBand="false" w:firstColumn="false"/>
            <w:tcW w:w="11.434303%" w:type="pct"/>
          </w:tcPr>
          <w:p>
            <w:pPr>
              <w:pStyle w:val="table-level-1"/>
              <w:ind w:leftChars="0" w:left="0" w:right="0"/>
              <w:keepNext/>
            </w:pPr>
            <w:r>
              <w:t>1,03</w:t>
            </w:r>
          </w:p>
        </w:tc>
        <w:tc>
          <w:tcPr>
            <w:cnfStyle w:evenVBand="false" w:oddVBand="true" w:firstColumn="false"/>
            <w:tcW w:w="11.434303%" w:type="pct"/>
          </w:tcPr>
          <w:p>
            <w:pPr>
              <w:pStyle w:val="table-level-1"/>
              <w:ind w:leftChars="0" w:left="0" w:right="0"/>
              <w:keepNext/>
            </w:pPr>
            <w:r>
              <w:t>1,39</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a92c63c0a97bf7506b75b6ec44834912">
              <w:r>
                <w:rPr>
                  <w:rStyle w:val="Hyperlink"/>
                </w:rPr>
                <w:t>Liquidità secondaria</w:t>
              </w:r>
            </w:hyperlink>
          </w:p>
        </w:tc>
        <w:tc>
          <w:tcPr>
            <w:cnfStyle w:evenVBand="true" w:oddVBand="false" w:firstColumn="false"/>
            <w:tcW w:w="11.434303%" w:type="pct"/>
          </w:tcPr>
          <w:p>
            <w:pPr>
              <w:pStyle w:val="table-level-1"/>
              <w:ind w:leftChars="0" w:left="0" w:right="0"/>
              <w:keepNext/>
            </w:pPr>
            <w:r>
              <w:t>1,4</w:t>
            </w:r>
          </w:p>
        </w:tc>
        <w:tc>
          <w:tcPr>
            <w:cnfStyle w:evenVBand="false" w:oddVBand="true" w:firstColumn="false"/>
            <w:tcW w:w="11.434303%" w:type="pct"/>
          </w:tcPr>
          <w:p>
            <w:pPr>
              <w:pStyle w:val="table-level-1"/>
              <w:ind w:leftChars="0" w:left="0" w:right="0"/>
              <w:keepNext/>
            </w:pPr>
            <w:r>
              <w:t>0,92</w:t>
            </w:r>
          </w:p>
        </w:tc>
        <w:tc>
          <w:tcPr>
            <w:cnfStyle w:evenVBand="true" w:oddVBand="false" w:firstColumn="false"/>
            <w:tcW w:w="11.434303%" w:type="pct"/>
          </w:tcPr>
          <w:p>
            <w:pPr>
              <w:pStyle w:val="table-level-1"/>
              <w:ind w:leftChars="0" w:left="0" w:right="0"/>
              <w:keepNext/>
            </w:pPr>
            <w:r>
              <w:t>1,11</w:t>
            </w:r>
          </w:p>
        </w:tc>
        <w:tc>
          <w:tcPr>
            <w:cnfStyle w:evenVBand="false" w:oddVBand="true" w:firstColumn="false"/>
            <w:tcW w:w="11.434303%" w:type="pct"/>
          </w:tcPr>
          <w:p>
            <w:pPr>
              <w:pStyle w:val="table-level-1"/>
              <w:ind w:leftChars="0" w:left="0" w:right="0"/>
              <w:keepNext/>
            </w:pPr>
            <w:r>
              <w:t>1,01</w:t>
            </w:r>
          </w:p>
        </w:tc>
        <w:tc>
          <w:tcPr>
            <w:cnfStyle w:evenVBand="true" w:oddVBand="false" w:firstColumn="false"/>
            <w:tcW w:w="11.434303%" w:type="pct"/>
          </w:tcPr>
          <w:p>
            <w:pPr>
              <w:pStyle w:val="table-level-1"/>
              <w:ind w:leftChars="0" w:left="0" w:right="0"/>
              <w:keepNext/>
            </w:pPr>
            <w:r>
              <w:t>1,11</w:t>
            </w:r>
          </w:p>
        </w:tc>
        <w:tc>
          <w:tcPr>
            <w:cnfStyle w:evenVBand="false" w:oddVBand="true" w:firstColumn="false"/>
            <w:tcW w:w="11.434303%" w:type="pct"/>
          </w:tcPr>
          <w:p>
            <w:pPr>
              <w:pStyle w:val="table-level-1"/>
              <w:ind w:leftChars="0" w:left="0" w:right="0"/>
              <w:keepNext/>
            </w:pPr>
            <w:r>
              <w:t>1,47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6ab335799aa828ac9d7f2ca6e1fd16ba">
              <w:r>
                <w:rPr>
                  <w:rStyle w:val="Hyperlink"/>
                </w:rPr>
                <w:t>Durata crediti commerciali [gg]</w:t>
              </w:r>
            </w:hyperlink>
          </w:p>
        </w:tc>
        <w:tc>
          <w:tcPr>
            <w:cnfStyle w:evenVBand="true" w:oddVBand="false" w:firstColumn="false"/>
            <w:tcW w:w="11.434303%" w:type="pct"/>
          </w:tcPr>
          <w:p>
            <w:pPr>
              <w:pStyle w:val="table-level-1"/>
              <w:ind w:leftChars="0" w:left="0" w:right="0"/>
              <w:keepNext/>
            </w:pPr>
            <w:r>
              <w:t>53,5</w:t>
            </w:r>
          </w:p>
        </w:tc>
        <w:tc>
          <w:tcPr>
            <w:cnfStyle w:evenVBand="false" w:oddVBand="true" w:firstColumn="false"/>
            <w:tcW w:w="11.434303%" w:type="pct"/>
          </w:tcPr>
          <w:p>
            <w:pPr>
              <w:pStyle w:val="table-level-1"/>
              <w:ind w:leftChars="0" w:left="0" w:right="0"/>
              <w:keepNext/>
            </w:pPr>
            <w:r>
              <w:t>55,2</w:t>
            </w:r>
          </w:p>
        </w:tc>
        <w:tc>
          <w:tcPr>
            <w:cnfStyle w:evenVBand="true" w:oddVBand="false" w:firstColumn="false"/>
            <w:tcW w:w="11.434303%" w:type="pct"/>
          </w:tcPr>
          <w:p>
            <w:pPr>
              <w:pStyle w:val="table-level-1"/>
              <w:ind w:leftChars="0" w:left="0" w:right="0"/>
              <w:keepNext/>
            </w:pPr>
            <w:r>
              <w:t>54,9</w:t>
            </w:r>
          </w:p>
        </w:tc>
        <w:tc>
          <w:tcPr>
            <w:cnfStyle w:evenVBand="false" w:oddVBand="true" w:firstColumn="false"/>
            <w:tcW w:w="11.434303%" w:type="pct"/>
          </w:tcPr>
          <w:p>
            <w:pPr>
              <w:pStyle w:val="table-level-1"/>
              <w:ind w:leftChars="0" w:left="0" w:right="0"/>
              <w:keepNext/>
            </w:pPr>
            <w:r>
              <w:t>55,3</w:t>
            </w:r>
          </w:p>
        </w:tc>
        <w:tc>
          <w:tcPr>
            <w:cnfStyle w:evenVBand="true" w:oddVBand="false" w:firstColumn="false"/>
            <w:tcW w:w="11.434303%" w:type="pct"/>
          </w:tcPr>
          <w:p>
            <w:pPr>
              <w:pStyle w:val="table-level-1"/>
              <w:ind w:leftChars="0" w:left="0" w:right="0"/>
              <w:keepNext/>
            </w:pPr>
            <w:r>
              <w:t>69,3</w:t>
            </w:r>
          </w:p>
        </w:tc>
        <w:tc>
          <w:tcPr>
            <w:cnfStyle w:evenVBand="false" w:oddVBand="true" w:firstColumn="false"/>
            <w:tcW w:w="11.434303%" w:type="pct"/>
          </w:tcPr>
          <w:p>
            <w:pPr>
              <w:pStyle w:val="table-level-1"/>
              <w:ind w:leftChars="0" w:left="0" w:right="0"/>
              <w:keepNext/>
            </w:pPr>
            <w:r>
              <w:t>66,4</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dc596ba3daa410837746021ea38ff166">
              <w:r>
                <w:rPr>
                  <w:rStyle w:val="Hyperlink"/>
                </w:rPr>
                <w:t>Durata debiti commerciali [gg]</w:t>
              </w:r>
            </w:hyperlink>
          </w:p>
        </w:tc>
        <w:tc>
          <w:tcPr>
            <w:cnfStyle w:evenVBand="true" w:oddVBand="false" w:firstColumn="false"/>
            <w:tcW w:w="11.434303%" w:type="pct"/>
          </w:tcPr>
          <w:p>
            <w:pPr>
              <w:pStyle w:val="table-level-1"/>
              <w:ind w:leftChars="0" w:left="0" w:right="0"/>
              <w:keepNext/>
            </w:pPr>
            <w:r>
              <w:t>54,6</w:t>
            </w:r>
          </w:p>
        </w:tc>
        <w:tc>
          <w:tcPr>
            <w:cnfStyle w:evenVBand="false" w:oddVBand="true" w:firstColumn="false"/>
            <w:tcW w:w="11.434303%" w:type="pct"/>
          </w:tcPr>
          <w:p>
            <w:pPr>
              <w:pStyle w:val="table-level-1"/>
              <w:ind w:leftChars="0" w:left="0" w:right="0"/>
              <w:keepNext/>
            </w:pPr>
            <w:r>
              <w:t>54,7</w:t>
            </w:r>
          </w:p>
        </w:tc>
        <w:tc>
          <w:tcPr>
            <w:cnfStyle w:evenVBand="true" w:oddVBand="false" w:firstColumn="false"/>
            <w:tcW w:w="11.434303%" w:type="pct"/>
          </w:tcPr>
          <w:p>
            <w:pPr>
              <w:pStyle w:val="table-level-1"/>
              <w:ind w:leftChars="0" w:left="0" w:right="0"/>
              <w:keepNext/>
            </w:pPr>
            <w:r>
              <w:t>54,6</w:t>
            </w:r>
          </w:p>
        </w:tc>
        <w:tc>
          <w:tcPr>
            <w:cnfStyle w:evenVBand="false" w:oddVBand="true" w:firstColumn="false"/>
            <w:tcW w:w="11.434303%" w:type="pct"/>
          </w:tcPr>
          <w:p>
            <w:pPr>
              <w:pStyle w:val="table-level-1"/>
              <w:ind w:leftChars="0" w:left="0" w:right="0"/>
              <w:keepNext/>
            </w:pPr>
            <w:r>
              <w:t>72,7</w:t>
            </w:r>
          </w:p>
        </w:tc>
        <w:tc>
          <w:tcPr>
            <w:cnfStyle w:evenVBand="true" w:oddVBand="false" w:firstColumn="false"/>
            <w:tcW w:w="11.434303%" w:type="pct"/>
          </w:tcPr>
          <w:p>
            <w:pPr>
              <w:pStyle w:val="table-level-1"/>
              <w:ind w:leftChars="0" w:left="0" w:right="0"/>
              <w:keepNext/>
            </w:pPr>
            <w:r>
              <w:t>75,6</w:t>
            </w:r>
          </w:p>
        </w:tc>
        <w:tc>
          <w:tcPr>
            <w:cnfStyle w:evenVBand="false" w:oddVBand="true" w:firstColumn="false"/>
            <w:tcW w:w="11.434303%" w:type="pct"/>
          </w:tcPr>
          <w:p>
            <w:pPr>
              <w:pStyle w:val="table-level-1"/>
              <w:ind w:leftChars="0" w:left="0" w:right="0"/>
              <w:keepNext/>
            </w:pPr>
            <w:r>
              <w:t>31,1</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cb9463c3dfd10421dcc0092c06869de3">
              <w:r>
                <w:rPr>
                  <w:rStyle w:val="Hyperlink"/>
                </w:rPr>
                <w:t>Durata scorte magazzino [gg]</w:t>
              </w:r>
            </w:hyperlink>
          </w:p>
        </w:tc>
        <w:tc>
          <w:tcPr>
            <w:cnfStyle w:evenVBand="true" w:oddVBand="false" w:firstColumn="false"/>
            <w:tcW w:w="11.434303%" w:type="pct"/>
          </w:tcPr>
          <w:p>
            <w:pPr>
              <w:pStyle w:val="table-level-1"/>
              <w:ind w:leftChars="0" w:left="0" w:right="0"/>
              <w:keepNext/>
            </w:pPr>
            <w:r>
              <w:t>75,6</w:t>
            </w:r>
          </w:p>
        </w:tc>
        <w:tc>
          <w:tcPr>
            <w:cnfStyle w:evenVBand="false" w:oddVBand="true" w:firstColumn="false"/>
            <w:tcW w:w="11.434303%" w:type="pct"/>
          </w:tcPr>
          <w:p>
            <w:pPr>
              <w:pStyle w:val="table-level-1"/>
              <w:ind w:leftChars="0" w:left="0" w:right="0"/>
              <w:keepNext/>
            </w:pPr>
            <w:r>
              <w:t>83,6</w:t>
            </w:r>
          </w:p>
        </w:tc>
        <w:tc>
          <w:tcPr>
            <w:cnfStyle w:evenVBand="true" w:oddVBand="false" w:firstColumn="false"/>
            <w:tcW w:w="11.434303%" w:type="pct"/>
          </w:tcPr>
          <w:p>
            <w:pPr>
              <w:pStyle w:val="table-level-1"/>
              <w:ind w:leftChars="0" w:left="0" w:right="0"/>
              <w:keepNext/>
            </w:pPr>
            <w:r>
              <w:t>86,8</w:t>
            </w:r>
          </w:p>
        </w:tc>
        <w:tc>
          <w:tcPr>
            <w:cnfStyle w:evenVBand="false" w:oddVBand="true" w:firstColumn="false"/>
            <w:tcW w:w="11.434303%" w:type="pct"/>
          </w:tcPr>
          <w:p>
            <w:pPr>
              <w:pStyle w:val="table-level-1"/>
              <w:ind w:leftChars="0" w:left="0" w:right="0"/>
              <w:keepNext/>
            </w:pPr>
            <w:r>
              <w:t>78</w:t>
            </w:r>
          </w:p>
        </w:tc>
        <w:tc>
          <w:tcPr>
            <w:cnfStyle w:evenVBand="true" w:oddVBand="false" w:firstColumn="false"/>
            <w:tcW w:w="11.434303%" w:type="pct"/>
          </w:tcPr>
          <w:p>
            <w:pPr>
              <w:pStyle w:val="table-level-1"/>
              <w:ind w:leftChars="0" w:left="0" w:right="0"/>
              <w:keepNext/>
            </w:pPr>
            <w:r>
              <w:t>75,8</w:t>
            </w:r>
          </w:p>
        </w:tc>
        <w:tc>
          <w:tcPr>
            <w:cnfStyle w:evenVBand="false" w:oddVBand="true" w:firstColumn="false"/>
            <w:tcW w:w="11.434303%" w:type="pct"/>
          </w:tcPr>
          <w:p>
            <w:pPr>
              <w:pStyle w:val="table-level-1"/>
              <w:ind w:leftChars="0" w:left="0" w:right="0"/>
              <w:keepNext/>
            </w:pPr>
            <w:r>
              <w:t>78,9</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5cbed1201ef9de7f831f53ad4a53cb5b">
              <w:r>
                <w:rPr>
                  <w:rStyle w:val="Hyperlink"/>
                </w:rPr>
                <w:t>Durata ciclo commerciale [gg]</w:t>
              </w:r>
            </w:hyperlink>
          </w:p>
        </w:tc>
        <w:tc>
          <w:tcPr>
            <w:cnfStyle w:evenVBand="true" w:oddVBand="false" w:firstColumn="false"/>
            <w:tcW w:w="11.434303%" w:type="pct"/>
          </w:tcPr>
          <w:p>
            <w:pPr>
              <w:pStyle w:val="table-level-1"/>
              <w:ind w:leftChars="0" w:left="0" w:right="0"/>
              <w:keepNext/>
            </w:pPr>
            <w:r>
              <w:t>74,4</w:t>
            </w:r>
          </w:p>
        </w:tc>
        <w:tc>
          <w:tcPr>
            <w:cnfStyle w:evenVBand="false" w:oddVBand="true" w:firstColumn="false"/>
            <w:tcW w:w="11.434303%" w:type="pct"/>
          </w:tcPr>
          <w:p>
            <w:pPr>
              <w:pStyle w:val="table-level-1"/>
              <w:ind w:leftChars="0" w:left="0" w:right="0"/>
              <w:keepNext/>
            </w:pPr>
            <w:r>
              <w:t>84,2</w:t>
            </w:r>
          </w:p>
        </w:tc>
        <w:tc>
          <w:tcPr>
            <w:cnfStyle w:evenVBand="true" w:oddVBand="false" w:firstColumn="false"/>
            <w:tcW w:w="11.434303%" w:type="pct"/>
          </w:tcPr>
          <w:p>
            <w:pPr>
              <w:pStyle w:val="table-level-1"/>
              <w:ind w:leftChars="0" w:left="0" w:right="0"/>
              <w:keepNext/>
            </w:pPr>
            <w:r>
              <w:t>87</w:t>
            </w:r>
          </w:p>
        </w:tc>
        <w:tc>
          <w:tcPr>
            <w:cnfStyle w:evenVBand="false" w:oddVBand="true" w:firstColumn="false"/>
            <w:tcW w:w="11.434303%" w:type="pct"/>
          </w:tcPr>
          <w:p>
            <w:pPr>
              <w:pStyle w:val="table-level-1"/>
              <w:ind w:leftChars="0" w:left="0" w:right="0"/>
              <w:keepNext/>
            </w:pPr>
            <w:r>
              <w:t>60,6</w:t>
            </w:r>
          </w:p>
        </w:tc>
        <w:tc>
          <w:tcPr>
            <w:cnfStyle w:evenVBand="true" w:oddVBand="false" w:firstColumn="false"/>
            <w:tcW w:w="11.434303%" w:type="pct"/>
          </w:tcPr>
          <w:p>
            <w:pPr>
              <w:pStyle w:val="table-level-1"/>
              <w:ind w:leftChars="0" w:left="0" w:right="0"/>
              <w:keepNext/>
            </w:pPr>
            <w:r>
              <w:t>69,5</w:t>
            </w:r>
          </w:p>
        </w:tc>
        <w:tc>
          <w:tcPr>
            <w:cnfStyle w:evenVBand="false" w:oddVBand="true" w:firstColumn="false"/>
            <w:tcW w:w="11.434303%" w:type="pct"/>
          </w:tcPr>
          <w:p>
            <w:pPr>
              <w:pStyle w:val="table-level-1"/>
              <w:ind w:leftChars="0" w:left="0" w:right="0"/>
              <w:keepNext/>
            </w:pPr>
            <w:r>
              <w:t>114,2</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hyperlink w:anchor="_f290925ff59564c8421dbe02defca376">
              <w:r>
                <w:rPr>
                  <w:rStyle w:val="Hyperlink"/>
                </w:rPr>
                <w:t>Cash coverage debiti a breve</w:t>
              </w:r>
            </w:hyperlink>
          </w:p>
        </w:tc>
        <w:tc>
          <w:tcPr>
            <w:cnfStyle w:evenVBand="true" w:oddVBand="false" w:firstColumn="false"/>
            <w:tcW w:w="11.434303%" w:type="pct"/>
          </w:tcPr>
          <w:p>
            <w:pPr>
              <w:pStyle w:val="table-level-1"/>
              <w:ind w:leftChars="0" w:left="0" w:right="0"/>
              <w:keepNext/>
            </w:pPr>
            <w:r>
              <w:t>0,72</w:t>
            </w:r>
          </w:p>
        </w:tc>
        <w:tc>
          <w:tcPr>
            <w:cnfStyle w:evenVBand="false" w:oddVBand="true" w:firstColumn="false"/>
            <w:tcW w:w="11.434303%" w:type="pct"/>
          </w:tcPr>
          <w:p>
            <w:pPr>
              <w:pStyle w:val="table-level-1"/>
              <w:ind w:leftChars="0" w:left="0" w:right="0"/>
              <w:keepNext/>
            </w:pPr>
            <w:r>
              <w:t>0,16</w:t>
            </w:r>
          </w:p>
        </w:tc>
        <w:tc>
          <w:tcPr>
            <w:cnfStyle w:evenVBand="true" w:oddVBand="false" w:firstColumn="false"/>
            <w:tcW w:w="11.434303%" w:type="pct"/>
          </w:tcPr>
          <w:p>
            <w:pPr>
              <w:pStyle w:val="table-level-1"/>
              <w:ind w:leftChars="0" w:left="0" w:right="0"/>
              <w:keepNext/>
            </w:pPr>
            <w:r>
              <w:t>0,34</w:t>
            </w:r>
          </w:p>
        </w:tc>
        <w:tc>
          <w:tcPr>
            <w:cnfStyle w:evenVBand="false" w:oddVBand="true" w:firstColumn="false"/>
            <w:tcW w:w="11.434303%" w:type="pct"/>
          </w:tcPr>
          <w:p>
            <w:pPr>
              <w:pStyle w:val="table-level-1"/>
              <w:ind w:leftChars="0" w:left="0" w:right="0"/>
              <w:keepNext/>
            </w:pPr>
            <w:r>
              <w:t>0,35</w:t>
            </w:r>
          </w:p>
        </w:tc>
        <w:tc>
          <w:tcPr>
            <w:cnfStyle w:evenVBand="true" w:oddVBand="false" w:firstColumn="false"/>
            <w:tcW w:w="11.434303%" w:type="pct"/>
          </w:tcPr>
          <w:p>
            <w:pPr>
              <w:pStyle w:val="table-level-1"/>
              <w:ind w:leftChars="0" w:left="0" w:right="0"/>
              <w:keepNext/>
            </w:pPr>
            <w:r>
              <w:t>0,47</w:t>
            </w:r>
          </w:p>
        </w:tc>
        <w:tc>
          <w:tcPr>
            <w:cnfStyle w:evenVBand="false" w:oddVBand="true" w:firstColumn="false"/>
            <w:tcW w:w="11.434303%" w:type="pct"/>
          </w:tcPr>
          <w:p>
            <w:pPr>
              <w:pStyle w:val="table-level-1"/>
              <w:ind w:leftChars="0" w:left="0" w:right="0"/>
              <w:keepNext/>
            </w:pPr>
            <w:r>
              <w:t>0,77</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hyperlink w:anchor="_8917a6ff2f393431151b91a348d1bc6e">
              <w:r>
                <w:rPr>
                  <w:rStyle w:val="Hyperlink"/>
                </w:rPr>
                <w:t>Cash coverage ricavi</w:t>
              </w:r>
            </w:hyperlink>
          </w:p>
        </w:tc>
        <w:tc>
          <w:tcPr>
            <w:cnfStyle w:evenVBand="true" w:oddVBand="false" w:firstColumn="false"/>
            <w:tcW w:w="11.434303%" w:type="pct"/>
          </w:tcPr>
          <w:p>
            <w:pPr>
              <w:pStyle w:val="table-level-1"/>
              <w:ind w:leftChars="0" w:left="0" w:right="0"/>
              <w:keepNext/>
            </w:pPr>
            <w:r>
              <w:t>0,21</w:t>
            </w:r>
          </w:p>
        </w:tc>
        <w:tc>
          <w:tcPr>
            <w:cnfStyle w:evenVBand="false" w:oddVBand="true" w:firstColumn="false"/>
            <w:tcW w:w="11.434303%" w:type="pct"/>
          </w:tcPr>
          <w:p>
            <w:pPr>
              <w:pStyle w:val="table-level-1"/>
              <w:ind w:leftChars="0" w:left="0" w:right="0"/>
              <w:keepNext/>
            </w:pPr>
            <w:r>
              <w:t>0,043</w:t>
            </w:r>
          </w:p>
        </w:tc>
        <w:tc>
          <w:tcPr>
            <w:cnfStyle w:evenVBand="true" w:oddVBand="false" w:firstColumn="false"/>
            <w:tcW w:w="11.434303%" w:type="pct"/>
          </w:tcPr>
          <w:p>
            <w:pPr>
              <w:pStyle w:val="table-level-1"/>
              <w:ind w:leftChars="0" w:left="0" w:right="0"/>
              <w:keepNext/>
            </w:pPr>
            <w:r>
              <w:t>0,088</w:t>
            </w:r>
          </w:p>
        </w:tc>
        <w:tc>
          <w:tcPr>
            <w:cnfStyle w:evenVBand="false" w:oddVBand="true" w:firstColumn="false"/>
            <w:tcW w:w="11.434303%" w:type="pct"/>
          </w:tcPr>
          <w:p>
            <w:pPr>
              <w:pStyle w:val="table-level-1"/>
              <w:ind w:leftChars="0" w:left="0" w:right="0"/>
              <w:keepNext/>
            </w:pPr>
            <w:r>
              <w:t>0,11</w:t>
            </w:r>
          </w:p>
        </w:tc>
        <w:tc>
          <w:tcPr>
            <w:cnfStyle w:evenVBand="true" w:oddVBand="false" w:firstColumn="false"/>
            <w:tcW w:w="11.434303%" w:type="pct"/>
          </w:tcPr>
          <w:p>
            <w:pPr>
              <w:pStyle w:val="table-level-1"/>
              <w:ind w:leftChars="0" w:left="0" w:right="0"/>
              <w:keepNext/>
            </w:pPr>
            <w:r>
              <w:t>0,19</w:t>
            </w:r>
          </w:p>
        </w:tc>
        <w:tc>
          <w:tcPr>
            <w:cnfStyle w:evenVBand="false" w:oddVBand="true" w:firstColumn="false"/>
            <w:tcW w:w="11.434303%" w:type="pct"/>
          </w:tcPr>
          <w:p>
            <w:pPr>
              <w:pStyle w:val="table-level-1"/>
              <w:ind w:leftChars="0" w:left="0" w:right="0"/>
              <w:keepNext/>
            </w:pPr>
            <w:r>
              <w:t>0,27</w:t>
            </w:r>
          </w:p>
        </w:tc>
      </w:tr>
    </w:tbl>
    <w:p>
      <w:pPr>
        <w:pStyle w:val="TableBottomMargin"/>
      </w:pPr>
    </w:p>
    <w:br w:type="page"/>
    <w:bookmarkStart w:id="628" w:name="_0f3b292a8809b831bead4385a8473c5d"/>
    <w:p>
      <w:pPr>
        <w:pStyle w:val="Heading2"/>
        <w:keepNext/>
      </w:pPr>
      <w:r>
        <w:t>Analisi di solidità</w:t>
      </w:r>
    </w:p>
    <w:p>
      <w:pPr>
        <w:pStyle w:val="BodyText"/>
        <w:ind w:leftChars="0" w:left="0" w:right="0"/>
      </w:pPr>
      <w:r>
        <w:t xml:space="preserve">L’obiettivo dell’analisi di solidità è di verificare se la </w:t>
      </w:r>
      <w:r>
        <w:rPr>
          <w:i/>
          <w:iCs/>
        </w:rPr>
        <w:t>Società</w:t>
      </w:r>
      <w:r>
        <w:t xml:space="preserve"> presenti una struttura patrimoniale-finanziaria equilibrata, tale da consentirle di superare eventi, interni o esterni, negativi.</w:t>
      </w:r>
    </w:p>
    <w:bookmarkStart w:id="629" w:name="_8c3005b3c09f5760607a45a351e2f999"/>
    <w:bookmarkStart w:id="630" w:name="_d82bda65f985590b54be40fa4e296998"/>
    <w:p>
      <w:pPr>
        <w:pStyle w:val="Heading3"/>
        <w:keepNext/>
      </w:pPr>
      <w:r>
        <w:t>Indice di indebitamento</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indebitamento, che permette di valutare il rapporto tra i debiti complessivi della </w:t>
      </w:r>
      <w:r>
        <w:rPr>
          <w:i/>
          <w:iCs/>
        </w:rPr>
        <w:t>Società</w:t>
      </w:r>
      <w:r>
        <w:t xml:space="preserve"> e il suo patrimonio netto. Per approfondire meglio le dinamiche di questo indice, consulta il </w:t>
      </w:r>
      <w:hyperlink xmlns:r="http://schemas.openxmlformats.org/officeDocument/2006/relationships" r:id="rId143">
        <w:r>
          <w:rPr>
            <w:rStyle w:val="Hyperlink"/>
          </w:rPr>
          <w:t>Formulario</w:t>
        </w:r>
      </w:hyperlink>
      <w:r>
        <w:t>.</w:t>
      </w:r>
    </w:p>
    <w:p>
      <w:pPr>
        <w:pStyle w:val="BodyText"/>
        <w:ind w:leftChars="0" w:left="0" w:right="0"/>
      </w:pPr>
      <w:r>
        <w:t xml:space="preserve">Il grafico seguente pone a confronto l’indice </w:t>
      </w:r>
      <w:r>
        <w:rPr>
          <w:i/>
          <w:iCs/>
        </w:rPr>
        <w:t>Indice di indebitamento</w:t>
      </w:r>
      <w:r>
        <w:t xml:space="preserve"> al 31 dicembre 2022 rispetto al valore di riferimento di settore. Il valore dell’indice è pari a 1,57 e risulta migliore della media del settore (2,61).</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20" name="a5fb00809b72bd811124f6842b2d3929.png" descr="_static/temp/a5fb00809b72bd811124f6842b2d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5fb00809b72bd811124f6842b2d3929.png" descr="_static/temp/a5fb00809b72bd811124f6842b2d3929.png"/>
                    <pic:cNvPicPr>
                      <a:picLocks noChangeAspect="1" noChangeArrowheads="1"/>
                    </pic:cNvPicPr>
                  </pic:nvPicPr>
                  <pic:blipFill>
                    <a:blip xmlns:r="http://schemas.openxmlformats.org/officeDocument/2006/relationships" r:embed="rId144"/>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indebitamento</w:t>
      </w:r>
      <w:r>
        <w:t xml:space="preserve"> dal 31 dicembre 2017 al 31 dicembre 2022. Nel periodo evidenziato, il valore medio è stato pari a 2,04.</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21" name="c4c32cd7920ebe8b0ce37bffec75c3d6.png" descr="_static/temp/c4c32cd7920ebe8b0ce37bffec75c3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4c32cd7920ebe8b0ce37bffec75c3d6.png" descr="_static/temp/c4c32cd7920ebe8b0ce37bffec75c3d6.png"/>
                    <pic:cNvPicPr>
                      <a:picLocks noChangeAspect="1" noChangeArrowheads="1"/>
                    </pic:cNvPicPr>
                  </pic:nvPicPr>
                  <pic:blipFill>
                    <a:blip xmlns:r="http://schemas.openxmlformats.org/officeDocument/2006/relationships" r:embed="rId14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indebitamento</w:t>
      </w:r>
      <w:r>
        <w:t xml:space="preserve"> è pari a 1,57. Tale valore è in crescita del 22% rispetto al 31 dicembre 2021.</w:t>
      </w:r>
    </w:p>
    <w:bookmarkEnd w:id="629"/>
    <w:bookmarkEnd w:id="630"/>
    <w:bookmarkStart w:id="631" w:name="_49ca69d0353cd3a5c278923ea31f2b03"/>
    <w:bookmarkStart w:id="632" w:name="_0d43e06404c1d961431c6db17d9dd83a"/>
    <w:p>
      <w:pPr>
        <w:pStyle w:val="Heading3"/>
        <w:keepNext/>
      </w:pPr>
      <w:r>
        <w:t>Indice di indebitamento oneroso</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indebitamento oneroso, che consente di valutare il rapporto tra i debiti finanziari e i mezzi propri della </w:t>
      </w:r>
      <w:r>
        <w:rPr>
          <w:i/>
          <w:iCs/>
        </w:rPr>
        <w:t>Società</w:t>
      </w:r>
      <w:r>
        <w:t xml:space="preserve">. Per approfondire meglio le dinamiche di questo indice, consulta il </w:t>
      </w:r>
      <w:hyperlink xmlns:r="http://schemas.openxmlformats.org/officeDocument/2006/relationships" r:id="rId146">
        <w:r>
          <w:rPr>
            <w:rStyle w:val="Hyperlink"/>
          </w:rPr>
          <w:t>Formulario</w:t>
        </w:r>
      </w:hyperlink>
      <w:r>
        <w:t>.</w:t>
      </w:r>
    </w:p>
    <w:p>
      <w:pPr>
        <w:pStyle w:val="BodyText"/>
        <w:ind w:leftChars="0" w:left="0" w:right="0"/>
      </w:pPr>
      <w:r>
        <w:t xml:space="preserve">Il grafico seguente pone a confronto l’indice </w:t>
      </w:r>
      <w:r>
        <w:rPr>
          <w:i/>
          <w:iCs/>
        </w:rPr>
        <w:t>Indice di indebitamento oneroso</w:t>
      </w:r>
      <w:r>
        <w:t xml:space="preserve"> al 31 dicembre 2022 rispetto al valore di riferimento di settore. Il valore dell’indice è pari a 1,26 e risulta peggiore della media del settore (0,91).</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22" name="588d0d108d5e263ca49776c216ec0f2a.png" descr="_static/temp/588d0d108d5e263ca49776c216ec0f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588d0d108d5e263ca49776c216ec0f2a.png" descr="_static/temp/588d0d108d5e263ca49776c216ec0f2a.png"/>
                    <pic:cNvPicPr>
                      <a:picLocks noChangeAspect="1" noChangeArrowheads="1"/>
                    </pic:cNvPicPr>
                  </pic:nvPicPr>
                  <pic:blipFill>
                    <a:blip xmlns:r="http://schemas.openxmlformats.org/officeDocument/2006/relationships" r:embed="rId147"/>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indebitamento oneroso</w:t>
      </w:r>
      <w:r>
        <w:t xml:space="preserve"> dal 31 dicembre 2017 al 31 dicembre 2022. Nel periodo evidenziato, il valore medio è stato pari a 1,57.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23" name="48d52add55dbd877c811d61fd4c878ae.png" descr="_static/temp/48d52add55dbd877c811d61fd4c878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8d52add55dbd877c811d61fd4c878ae.png" descr="_static/temp/48d52add55dbd877c811d61fd4c878ae.png"/>
                    <pic:cNvPicPr>
                      <a:picLocks noChangeAspect="1" noChangeArrowheads="1"/>
                    </pic:cNvPicPr>
                  </pic:nvPicPr>
                  <pic:blipFill>
                    <a:blip xmlns:r="http://schemas.openxmlformats.org/officeDocument/2006/relationships" r:embed="rId14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indebitamento oneroso</w:t>
      </w:r>
      <w:r>
        <w:t xml:space="preserve"> è pari a 1,26. Tale valore è in crescita del 27% rispetto al 31 dicembre 2021.</w:t>
      </w:r>
    </w:p>
    <w:bookmarkEnd w:id="631"/>
    <w:bookmarkEnd w:id="632"/>
    <w:bookmarkStart w:id="633" w:name="_c173c0b636909b3228523c9727c0548e"/>
    <w:bookmarkStart w:id="634" w:name="_a49117249eadff59c07f357a6ec0d6be"/>
    <w:p>
      <w:pPr>
        <w:pStyle w:val="Heading3"/>
        <w:keepNext/>
      </w:pPr>
      <w:r>
        <w:t>Indice della capacità di rimborso del debito finanziario</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della capacità di rimborso del debito finanziario, che consente di valutare la capacità della </w:t>
      </w:r>
      <w:r>
        <w:rPr>
          <w:i/>
          <w:iCs/>
        </w:rPr>
        <w:t>Società</w:t>
      </w:r>
      <w:r>
        <w:t xml:space="preserve"> di ripagare i suoi debiti finanziari utilizzando il reddito operativo. Per approfondire meglio le dinamiche di questo indice, consulta il </w:t>
      </w:r>
      <w:hyperlink xmlns:r="http://schemas.openxmlformats.org/officeDocument/2006/relationships" r:id="rId149">
        <w:r>
          <w:rPr>
            <w:rStyle w:val="Hyperlink"/>
          </w:rPr>
          <w:t>Formulario</w:t>
        </w:r>
      </w:hyperlink>
      <w:r>
        <w:t>.</w:t>
      </w:r>
    </w:p>
    <w:p>
      <w:pPr>
        <w:pStyle w:val="BodyText"/>
        <w:ind w:leftChars="0" w:left="0" w:right="0"/>
      </w:pPr>
      <w:r>
        <w:t xml:space="preserve">Il grafico seguente pone a confronto l’indice </w:t>
      </w:r>
      <w:r>
        <w:rPr>
          <w:i/>
          <w:iCs/>
        </w:rPr>
        <w:t>Indice della capacità di rimborso del debito finanziario</w:t>
      </w:r>
      <w:r>
        <w:t xml:space="preserve"> al 31 dicembre 2022 rispetto al valore di riferimento di settore. Il valore dell’indice è pari a 2,99 e risulta in linea con la media del settore (3,12).</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24" name="17b4188b2f6fdf7446327e1d0f52b3b8.png" descr="_static/temp/17b4188b2f6fdf7446327e1d0f52b3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17b4188b2f6fdf7446327e1d0f52b3b8.png" descr="_static/temp/17b4188b2f6fdf7446327e1d0f52b3b8.png"/>
                    <pic:cNvPicPr>
                      <a:picLocks noChangeAspect="1" noChangeArrowheads="1"/>
                    </pic:cNvPicPr>
                  </pic:nvPicPr>
                  <pic:blipFill>
                    <a:blip xmlns:r="http://schemas.openxmlformats.org/officeDocument/2006/relationships" r:embed="rId150"/>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della capacità di rimborso del debito finanziario</w:t>
      </w:r>
      <w:r>
        <w:t xml:space="preserve"> dal 31 dicembre 2017 al 31 dicembre 2022. Nel periodo evidenziato, il valore medio è stato pari a 2,54.</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25" name="bc5acd9e07a590b0a898609384ea83eb.png" descr="_static/temp/bc5acd9e07a590b0a898609384ea83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c5acd9e07a590b0a898609384ea83eb.png" descr="_static/temp/bc5acd9e07a590b0a898609384ea83eb.png"/>
                    <pic:cNvPicPr>
                      <a:picLocks noChangeAspect="1" noChangeArrowheads="1"/>
                    </pic:cNvPicPr>
                  </pic:nvPicPr>
                  <pic:blipFill>
                    <a:blip xmlns:r="http://schemas.openxmlformats.org/officeDocument/2006/relationships" r:embed="rId15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della capacità di rimborso del debito finanziario</w:t>
      </w:r>
      <w:r>
        <w:t xml:space="preserve"> è pari a 2,99. Tale valore è in crescita del 59% rispetto al 31 dicembre 2021.</w:t>
      </w:r>
    </w:p>
    <w:bookmarkEnd w:id="633"/>
    <w:bookmarkEnd w:id="634"/>
    <w:bookmarkStart w:id="635" w:name="_429de681544df80a4c2d69ecf8e5521c"/>
    <w:bookmarkStart w:id="636" w:name="_fc9e963db462c308b65ca1c2a42c5739"/>
    <w:p>
      <w:pPr>
        <w:pStyle w:val="Heading3"/>
        <w:keepNext/>
      </w:pPr>
      <w:r>
        <w:t>Indice di solidità patrimoniale</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solidità patrimoniale, che consente di valutare in che misura le immobilizzazioni operative sono finanziate dai mezzi della </w:t>
      </w:r>
      <w:r>
        <w:rPr>
          <w:i/>
          <w:iCs/>
        </w:rPr>
        <w:t>Società</w:t>
      </w:r>
      <w:r>
        <w:t xml:space="preserve">. Per approfondire meglio le dinamiche di questo indice, consulta il </w:t>
      </w:r>
      <w:hyperlink xmlns:r="http://schemas.openxmlformats.org/officeDocument/2006/relationships" r:id="rId152">
        <w:r>
          <w:rPr>
            <w:rStyle w:val="Hyperlink"/>
          </w:rPr>
          <w:t>Formulario</w:t>
        </w:r>
      </w:hyperlink>
      <w:r>
        <w:t>.</w:t>
      </w:r>
    </w:p>
    <w:p>
      <w:pPr>
        <w:pStyle w:val="BodyText"/>
        <w:ind w:leftChars="0" w:left="0" w:right="0"/>
      </w:pPr>
      <w:r>
        <w:t xml:space="preserve">Il grafico seguente pone a confronto l’indice </w:t>
      </w:r>
      <w:r>
        <w:rPr>
          <w:i/>
          <w:iCs/>
        </w:rPr>
        <w:t>Indice di solidità patrimoniale</w:t>
      </w:r>
      <w:r>
        <w:t xml:space="preserve"> al 31 dicembre 2022 rispetto al valore di riferimento di settore. Il valore dell’indice è pari a 0,53 e risulta peggiore della media del settore (0,89).</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26" name="4852ab4b223ba9f46758d874d0a23b5f.png" descr="_static/temp/4852ab4b223ba9f46758d874d0a23b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852ab4b223ba9f46758d874d0a23b5f.png" descr="_static/temp/4852ab4b223ba9f46758d874d0a23b5f.png"/>
                    <pic:cNvPicPr>
                      <a:picLocks noChangeAspect="1" noChangeArrowheads="1"/>
                    </pic:cNvPicPr>
                  </pic:nvPicPr>
                  <pic:blipFill>
                    <a:blip xmlns:r="http://schemas.openxmlformats.org/officeDocument/2006/relationships" r:embed="rId153"/>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solidità patrimoniale</w:t>
      </w:r>
      <w:r>
        <w:t xml:space="preserve"> dal 31 dicembre 2017 al 31 dicembre 2022. Nel periodo evidenziato, il valore medio è stato pari a 0,48.</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27" name="beedcb5b6fa334f6e3789d40b8fa94f2.png" descr="_static/temp/beedcb5b6fa334f6e3789d40b8fa9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eedcb5b6fa334f6e3789d40b8fa94f2.png" descr="_static/temp/beedcb5b6fa334f6e3789d40b8fa94f2.png"/>
                    <pic:cNvPicPr>
                      <a:picLocks noChangeAspect="1" noChangeArrowheads="1"/>
                    </pic:cNvPicPr>
                  </pic:nvPicPr>
                  <pic:blipFill>
                    <a:blip xmlns:r="http://schemas.openxmlformats.org/officeDocument/2006/relationships" r:embed="rId154"/>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solidità patrimoniale</w:t>
      </w:r>
      <w:r>
        <w:t xml:space="preserve"> è pari a 0,53. Tale valore è stabile rispetto al 31 dicembre 2021.</w:t>
      </w:r>
    </w:p>
    <w:bookmarkEnd w:id="635"/>
    <w:bookmarkEnd w:id="636"/>
    <w:bookmarkStart w:id="637" w:name="_e61c4e17d422efead408ae478d8bb266"/>
    <w:bookmarkStart w:id="638" w:name="_c9f97d7a192145bbfa44509e17dd98e1"/>
    <w:p>
      <w:pPr>
        <w:pStyle w:val="Heading3"/>
        <w:keepNext/>
      </w:pPr>
      <w:r>
        <w:t>Grado di obsolescenza delle immobilizzazioni materiali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del grado di obsolescenza delle immobilizzazioni materiali, che consente di valutare quanta parte delle attuali immobilizzazioni materiali della </w:t>
      </w:r>
      <w:r>
        <w:rPr>
          <w:i/>
          <w:iCs/>
        </w:rPr>
        <w:t>Società</w:t>
      </w:r>
      <w:r>
        <w:t xml:space="preserve"> sia già stata ammortizzata. Per approfondire meglio le dinamiche di questo indice, consulta il </w:t>
      </w:r>
      <w:hyperlink xmlns:r="http://schemas.openxmlformats.org/officeDocument/2006/relationships" r:id="rId155">
        <w:r>
          <w:rPr>
            <w:rStyle w:val="Hyperlink"/>
          </w:rPr>
          <w:t>Formulario</w:t>
        </w:r>
      </w:hyperlink>
      <w:r>
        <w:t>.</w:t>
      </w:r>
    </w:p>
    <w:p>
      <w:pPr>
        <w:pStyle w:val="BodyText"/>
        <w:ind w:leftChars="0" w:left="0" w:right="0"/>
      </w:pPr>
      <w:r>
        <w:t xml:space="preserve">Il grafico seguente pone a confronto l’indice </w:t>
      </w:r>
      <w:r>
        <w:rPr>
          <w:i/>
          <w:iCs/>
        </w:rPr>
        <w:t>Grado di obsolescenza delle immobilizzazioni materiali</w:t>
      </w:r>
      <w:r>
        <w:t xml:space="preserve"> al 31 dicembre 2022 rispetto al valore di riferimento di settore. Il valore dell’indice è pari a 0,26 e risulta migliore della media del settore (0,49).</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28" name="fe4c6a1966e2a43ae20f1eca739087ff.png" descr="_static/temp/fe4c6a1966e2a43ae20f1eca739087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e4c6a1966e2a43ae20f1eca739087ff.png" descr="_static/temp/fe4c6a1966e2a43ae20f1eca739087ff.png"/>
                    <pic:cNvPicPr>
                      <a:picLocks noChangeAspect="1" noChangeArrowheads="1"/>
                    </pic:cNvPicPr>
                  </pic:nvPicPr>
                  <pic:blipFill>
                    <a:blip xmlns:r="http://schemas.openxmlformats.org/officeDocument/2006/relationships" r:embed="rId156"/>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Grado di obsolescenza delle immobilizzazioni materiali</w:t>
      </w:r>
      <w:r>
        <w:t xml:space="preserve"> dal 31 dicembre 2017 al 31 dicembre 2022. Nel periodo evidenziato, il valore medio è stato pari a 0,26.</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29" name="3664c0736857530565247013eb11a5b2.png" descr="_static/temp/3664c0736857530565247013eb11a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3664c0736857530565247013eb11a5b2.png" descr="_static/temp/3664c0736857530565247013eb11a5b2.png"/>
                    <pic:cNvPicPr>
                      <a:picLocks noChangeAspect="1" noChangeArrowheads="1"/>
                    </pic:cNvPicPr>
                  </pic:nvPicPr>
                  <pic:blipFill>
                    <a:blip xmlns:r="http://schemas.openxmlformats.org/officeDocument/2006/relationships" r:embed="rId157"/>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Grado di obsolescenza delle immobilizzazioni materiali</w:t>
      </w:r>
      <w:r>
        <w:t xml:space="preserve"> è pari a 0,26. Tale valore è in crescita del 1% rispetto al 31 dicembre 2021.</w:t>
      </w:r>
    </w:p>
    <w:bookmarkEnd w:id="637"/>
    <w:bookmarkEnd w:id="638"/>
    <w:bookmarkStart w:id="639" w:name="_5645bd7ade33f0d95cb3bb108c497b52"/>
    <w:bookmarkStart w:id="640" w:name="_e35e80d9c9dd8eab2f82e16a21d1ef9d"/>
    <w:p>
      <w:pPr>
        <w:pStyle w:val="Heading3"/>
        <w:keepNext/>
      </w:pPr>
      <w:r>
        <w:t>Costo medio dei debiti finanziari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che misura il costo medio dei debiti finanziari, che consente di valutare l’effettivo costo sostenuto dalla </w:t>
      </w:r>
      <w:r>
        <w:rPr>
          <w:i/>
          <w:iCs/>
        </w:rPr>
        <w:t>Società</w:t>
      </w:r>
      <w:r>
        <w:t xml:space="preserve"> per i suoi finanziamenti in essere. Per approfondire meglio le dinamiche di questo indice, consulta il </w:t>
      </w:r>
      <w:hyperlink xmlns:r="http://schemas.openxmlformats.org/officeDocument/2006/relationships" r:id="rId158">
        <w:r>
          <w:rPr>
            <w:rStyle w:val="Hyperlink"/>
          </w:rPr>
          <w:t>Formulario</w:t>
        </w:r>
      </w:hyperlink>
      <w:r>
        <w:t>.</w:t>
      </w:r>
    </w:p>
    <w:p>
      <w:pPr>
        <w:pStyle w:val="BodyText"/>
        <w:ind w:leftChars="0" w:left="0" w:right="0"/>
      </w:pPr>
      <w:r>
        <w:t xml:space="preserve">Il grafico seguente pone a confronto l’indice </w:t>
      </w:r>
      <w:r>
        <w:rPr>
          <w:i/>
          <w:iCs/>
        </w:rPr>
        <w:t>Costo medio dei debiti finanziari</w:t>
      </w:r>
      <w:r>
        <w:t xml:space="preserve"> al 31 dicembre 2022 rispetto al valore di riferimento di settore. Il valore dell’indice è pari a 6% e risulta migliore della media del settore (2%).</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30" name="4657841d181d573e3ba7f912b9687707.png" descr="_static/temp/4657841d181d573e3ba7f912b9687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4657841d181d573e3ba7f912b9687707.png" descr="_static/temp/4657841d181d573e3ba7f912b9687707.png"/>
                    <pic:cNvPicPr>
                      <a:picLocks noChangeAspect="1" noChangeArrowheads="1"/>
                    </pic:cNvPicPr>
                  </pic:nvPicPr>
                  <pic:blipFill>
                    <a:blip xmlns:r="http://schemas.openxmlformats.org/officeDocument/2006/relationships" r:embed="rId159"/>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Costo medio dei debiti finanziari</w:t>
      </w:r>
      <w:r>
        <w:t xml:space="preserve"> dal 31 dicembre 2017 al 31 dicembre 2022. Nel periodo evidenziato, il valore medio è stato pari a 6,19%.</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31" name="4b58051289b337bc93afc019b7bda0d6.png" descr="_static/temp/4b58051289b337bc93afc019b7bda0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4b58051289b337bc93afc019b7bda0d6.png" descr="_static/temp/4b58051289b337bc93afc019b7bda0d6.png"/>
                    <pic:cNvPicPr>
                      <a:picLocks noChangeAspect="1" noChangeArrowheads="1"/>
                    </pic:cNvPicPr>
                  </pic:nvPicPr>
                  <pic:blipFill>
                    <a:blip xmlns:r="http://schemas.openxmlformats.org/officeDocument/2006/relationships" r:embed="rId160"/>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Costo medio dei debiti finanziari</w:t>
      </w:r>
      <w:r>
        <w:t xml:space="preserve"> è pari a 5,6%. Tale valore è in diminuzione del 15% rispetto al 31 dicembre 2021.</w:t>
      </w:r>
    </w:p>
    <w:br w:type="page"/>
    <w:bookmarkEnd w:id="639"/>
    <w:bookmarkEnd w:id="640"/>
    <w:bookmarkEnd w:id="628"/>
    <w:bookmarkStart w:id="641" w:name="_cadf5f01fbaebd19bbd99dae172dc304"/>
    <w:p>
      <w:pPr>
        <w:pStyle w:val="Heading2"/>
        <w:keepNext/>
      </w:pPr>
      <w:r>
        <w:t>Analisi di redditività</w:t>
      </w:r>
    </w:p>
    <w:p>
      <w:pPr>
        <w:pStyle w:val="BodyText"/>
        <w:ind w:leftChars="0" w:left="0" w:right="0"/>
      </w:pPr>
      <w:r>
        <w:t xml:space="preserve">L’obiettivo dell’analisi di redditività è di comprendere la capacità della </w:t>
      </w:r>
      <w:r>
        <w:rPr>
          <w:i/>
          <w:iCs/>
        </w:rPr>
        <w:t>Società</w:t>
      </w:r>
      <w:r>
        <w:t xml:space="preserve"> di generare un reddito sufficiente a remunerare il capitale investito.</w:t>
      </w:r>
    </w:p>
    <w:bookmarkStart w:id="642" w:name="_23aa5809ebd28791dba763ef3f8727b5"/>
    <w:bookmarkStart w:id="643" w:name="_8fac259ec403ee51d9955bbdc2125042"/>
    <w:p>
      <w:pPr>
        <w:pStyle w:val="Heading3"/>
        <w:keepNext/>
      </w:pPr>
      <w:r>
        <w:t>Return on equity (ROE)</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 return on equity (ROE), che consente di valutare la capacità della </w:t>
      </w:r>
      <w:r>
        <w:rPr>
          <w:i/>
          <w:iCs/>
        </w:rPr>
        <w:t>Società</w:t>
      </w:r>
      <w:r>
        <w:t xml:space="preserve"> di remunerare l’investimento effettuato dai propri soci. Per approfondire meglio le dinamiche di questo indice, consulta il </w:t>
      </w:r>
      <w:hyperlink xmlns:r="http://schemas.openxmlformats.org/officeDocument/2006/relationships" r:id="rId161">
        <w:r>
          <w:rPr>
            <w:rStyle w:val="Hyperlink"/>
          </w:rPr>
          <w:t>Formulario</w:t>
        </w:r>
      </w:hyperlink>
      <w:r>
        <w:t>.</w:t>
      </w:r>
    </w:p>
    <w:p>
      <w:pPr>
        <w:pStyle w:val="BodyText"/>
        <w:ind w:leftChars="0" w:left="0" w:right="0"/>
      </w:pPr>
      <w:r>
        <w:t xml:space="preserve">Il grafico seguente pone a confronto l’indice </w:t>
      </w:r>
      <w:r>
        <w:rPr>
          <w:i/>
          <w:iCs/>
        </w:rPr>
        <w:t>Return on equity (ROE)</w:t>
      </w:r>
      <w:r>
        <w:t xml:space="preserve"> al 31 dicembre 2022 rispetto al valore di riferimento di settore. Il valore dell’indice è pari a 19% e risulta migliore della media del settore (10%).</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32" name="590a22ae02c102dbe46ab3ed5d5189b7.png" descr="_static/temp/590a22ae02c102dbe46ab3ed5d5189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590a22ae02c102dbe46ab3ed5d5189b7.png" descr="_static/temp/590a22ae02c102dbe46ab3ed5d5189b7.png"/>
                    <pic:cNvPicPr>
                      <a:picLocks noChangeAspect="1" noChangeArrowheads="1"/>
                    </pic:cNvPicPr>
                  </pic:nvPicPr>
                  <pic:blipFill>
                    <a:blip xmlns:r="http://schemas.openxmlformats.org/officeDocument/2006/relationships" r:embed="rId162"/>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Return on equity (ROE)</w:t>
      </w:r>
      <w:r>
        <w:t xml:space="preserve"> dal 31 dicembre 2017 al 31 dicembre 2022. Nel periodo evidenziato, il valore medio è stato pari a 31,19%.</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33" name="78c2bb24fd8bbadecd58ec4971fb478f.png" descr="_static/temp/78c2bb24fd8bbadecd58ec4971fb47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78c2bb24fd8bbadecd58ec4971fb478f.png" descr="_static/temp/78c2bb24fd8bbadecd58ec4971fb478f.png"/>
                    <pic:cNvPicPr>
                      <a:picLocks noChangeAspect="1" noChangeArrowheads="1"/>
                    </pic:cNvPicPr>
                  </pic:nvPicPr>
                  <pic:blipFill>
                    <a:blip xmlns:r="http://schemas.openxmlformats.org/officeDocument/2006/relationships" r:embed="rId16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Return on equity (ROE)</w:t>
      </w:r>
      <w:r>
        <w:t xml:space="preserve"> è pari a 18,5%. Tale valore è in diminuzione del 29% rispetto al 31 dicembre 2021.</w:t>
      </w:r>
    </w:p>
    <w:bookmarkEnd w:id="642"/>
    <w:bookmarkEnd w:id="643"/>
    <w:bookmarkStart w:id="644" w:name="_9259b7fc69b6b708b55aaedae14a27a4"/>
    <w:bookmarkStart w:id="645" w:name="_2ec38e3311707734fa7f2c44f616e391"/>
    <w:p>
      <w:pPr>
        <w:pStyle w:val="Heading3"/>
        <w:keepNext/>
      </w:pPr>
      <w:r>
        <w:t>Return on investments (ROI)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 return on investments (ROI), che consente di valutare la capacità della </w:t>
      </w:r>
      <w:r>
        <w:rPr>
          <w:i/>
          <w:iCs/>
        </w:rPr>
        <w:t>Società</w:t>
      </w:r>
      <w:r>
        <w:t xml:space="preserve"> di ottenere un rendimento dai suoi investimenti operativi. Per approfondire meglio le dinamiche di questo indice, consulta il </w:t>
      </w:r>
      <w:hyperlink xmlns:r="http://schemas.openxmlformats.org/officeDocument/2006/relationships" r:id="rId164">
        <w:r>
          <w:rPr>
            <w:rStyle w:val="Hyperlink"/>
          </w:rPr>
          <w:t>Formulario</w:t>
        </w:r>
      </w:hyperlink>
      <w:r>
        <w:t>.</w:t>
      </w:r>
    </w:p>
    <w:p>
      <w:pPr>
        <w:pStyle w:val="BodyText"/>
        <w:ind w:leftChars="0" w:left="0" w:right="0"/>
      </w:pPr>
      <w:r>
        <w:t xml:space="preserve">Il grafico seguente pone a confronto l’indice </w:t>
      </w:r>
      <w:r>
        <w:rPr>
          <w:i/>
          <w:iCs/>
        </w:rPr>
        <w:t>Return on investments (ROI)</w:t>
      </w:r>
      <w:r>
        <w:t xml:space="preserve"> al 31 dicembre 2022 rispetto al valore di riferimento di settore. Il valore dell’indice è pari a 17% e risulta migliore della media del settore (8%).</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34" name="dae363565d849afacf49a4ba18e2a8e1.png" descr="_static/temp/dae363565d849afacf49a4ba18e2a8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ae363565d849afacf49a4ba18e2a8e1.png" descr="_static/temp/dae363565d849afacf49a4ba18e2a8e1.png"/>
                    <pic:cNvPicPr>
                      <a:picLocks noChangeAspect="1" noChangeArrowheads="1"/>
                    </pic:cNvPicPr>
                  </pic:nvPicPr>
                  <pic:blipFill>
                    <a:blip xmlns:r="http://schemas.openxmlformats.org/officeDocument/2006/relationships" r:embed="rId165"/>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Return on investments (ROI)</w:t>
      </w:r>
      <w:r>
        <w:t xml:space="preserve"> dal 31 dicembre 2017 al 31 dicembre 2022. Nel periodo evidenziato, il valore medio è stato pari a 23,15%.</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35" name="28db6819b1aa52a6a0382d9b7ffa2c98.png" descr="_static/temp/28db6819b1aa52a6a0382d9b7ffa2c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8db6819b1aa52a6a0382d9b7ffa2c98.png" descr="_static/temp/28db6819b1aa52a6a0382d9b7ffa2c98.png"/>
                    <pic:cNvPicPr>
                      <a:picLocks noChangeAspect="1" noChangeArrowheads="1"/>
                    </pic:cNvPicPr>
                  </pic:nvPicPr>
                  <pic:blipFill>
                    <a:blip xmlns:r="http://schemas.openxmlformats.org/officeDocument/2006/relationships" r:embed="rId16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Return on investments (ROI)</w:t>
      </w:r>
      <w:r>
        <w:t xml:space="preserve"> è pari a 16,78%. Tale valore è in diminuzione del 24% rispetto al 31 dicembre 2021.</w:t>
      </w:r>
    </w:p>
    <w:bookmarkEnd w:id="644"/>
    <w:bookmarkEnd w:id="645"/>
    <w:bookmarkStart w:id="646" w:name="_f5f14df94ce08958b5aa10be6e6d4c7d"/>
    <w:bookmarkStart w:id="647" w:name="_47bebc895db26ffd7bd924add6836942"/>
    <w:p>
      <w:pPr>
        <w:pStyle w:val="Heading3"/>
        <w:keepNext/>
      </w:pPr>
      <w:r>
        <w:t>Return on sales (ROS)</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 return on sales (ROS), che consente di valutare la redditività delle vendite, fornendo un’indicazione della quota dei ricavi che rimane dopo aver coperto tutti i costi operativi. Per approfondire meglio le dinamiche di questo indice, consulta il </w:t>
      </w:r>
      <w:hyperlink xmlns:r="http://schemas.openxmlformats.org/officeDocument/2006/relationships" r:id="rId167">
        <w:r>
          <w:rPr>
            <w:rStyle w:val="Hyperlink"/>
          </w:rPr>
          <w:t>Formulario</w:t>
        </w:r>
      </w:hyperlink>
      <w:r>
        <w:t>.</w:t>
      </w:r>
    </w:p>
    <w:p>
      <w:pPr>
        <w:pStyle w:val="BodyText"/>
        <w:ind w:leftChars="0" w:left="0" w:right="0"/>
      </w:pPr>
      <w:r>
        <w:t xml:space="preserve">Il grafico seguente pone a confronto l’indice </w:t>
      </w:r>
      <w:r>
        <w:rPr>
          <w:i/>
          <w:iCs/>
        </w:rPr>
        <w:t>Return on sales (ROS)</w:t>
      </w:r>
      <w:r>
        <w:t xml:space="preserve"> al 31 dicembre 2022 rispetto al valore di riferimento di settore. Il valore dell’indice è pari a 17% e risulta migliore della media del settore (4%).</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36" name="ba93ad0097840e52b245c1ad3f0fc05a.png" descr="_static/temp/ba93ad0097840e52b245c1ad3f0fc0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ba93ad0097840e52b245c1ad3f0fc05a.png" descr="_static/temp/ba93ad0097840e52b245c1ad3f0fc05a.png"/>
                    <pic:cNvPicPr>
                      <a:picLocks noChangeAspect="1" noChangeArrowheads="1"/>
                    </pic:cNvPicPr>
                  </pic:nvPicPr>
                  <pic:blipFill>
                    <a:blip xmlns:r="http://schemas.openxmlformats.org/officeDocument/2006/relationships" r:embed="rId168"/>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Return on sales (ROS)</w:t>
      </w:r>
      <w:r>
        <w:t xml:space="preserve"> dal 31 dicembre 2017 al 31 dicembre 2022. Nel periodo evidenziato, il valore medio è stato pari a 21,93%.</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37" name="f66274457151cacc2648db0f31117b54.png" descr="_static/temp/f66274457151cacc2648db0f31117b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66274457151cacc2648db0f31117b54.png" descr="_static/temp/f66274457151cacc2648db0f31117b54.png"/>
                    <pic:cNvPicPr>
                      <a:picLocks noChangeAspect="1" noChangeArrowheads="1"/>
                    </pic:cNvPicPr>
                  </pic:nvPicPr>
                  <pic:blipFill>
                    <a:blip xmlns:r="http://schemas.openxmlformats.org/officeDocument/2006/relationships" r:embed="rId16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Return on sales (ROS)</w:t>
      </w:r>
      <w:r>
        <w:t xml:space="preserve"> è pari a 17,04%. Tale valore è in diminuzione del 24% rispetto al 31 dicembre 2021.</w:t>
      </w:r>
    </w:p>
    <w:bookmarkEnd w:id="646"/>
    <w:bookmarkEnd w:id="647"/>
    <w:bookmarkStart w:id="648" w:name="_f59f2212b949d616d5399505a13623f9"/>
    <w:bookmarkStart w:id="649" w:name="_2ca3580af2ba30ea5c1e76d6a5a107f7"/>
    <w:p>
      <w:pPr>
        <w:pStyle w:val="Heading3"/>
        <w:keepNext/>
      </w:pPr>
      <w:r>
        <w:t>Indice di rotazione del capitale investito netto</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rotazione del capitale investito netto, che consente di valutare la capacità della </w:t>
      </w:r>
      <w:r>
        <w:rPr>
          <w:i/>
          <w:iCs/>
        </w:rPr>
        <w:t>Società</w:t>
      </w:r>
      <w:r>
        <w:t xml:space="preserve"> di trasformare i suoi investimenti operativi in ricavi di vendita. Per approfondire meglio le dinamiche di questo indice, consulta il </w:t>
      </w:r>
      <w:hyperlink xmlns:r="http://schemas.openxmlformats.org/officeDocument/2006/relationships" r:id="rId170">
        <w:r>
          <w:rPr>
            <w:rStyle w:val="Hyperlink"/>
          </w:rPr>
          <w:t>Formulario</w:t>
        </w:r>
      </w:hyperlink>
      <w:r>
        <w:t>.</w:t>
      </w:r>
    </w:p>
    <w:p>
      <w:pPr>
        <w:pStyle w:val="BodyText"/>
        <w:ind w:leftChars="0" w:left="0" w:right="0"/>
      </w:pPr>
      <w:r>
        <w:t xml:space="preserve">Il grafico seguente pone a confronto l’indice </w:t>
      </w:r>
      <w:r>
        <w:rPr>
          <w:i/>
          <w:iCs/>
        </w:rPr>
        <w:t>Indice di rotazione del capitale investito netto</w:t>
      </w:r>
      <w:r>
        <w:t xml:space="preserve"> al 31 dicembre 2022 rispetto al valore di riferimento di settore. Il valore dell’indice è pari a 0,98 e risulta peggiore della media del settore (2,33).</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38" name="c6af5c1482ccb6df3a44dc0a83336a07.png" descr="_static/temp/c6af5c1482ccb6df3a44dc0a83336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6af5c1482ccb6df3a44dc0a83336a07.png" descr="_static/temp/c6af5c1482ccb6df3a44dc0a83336a07.png"/>
                    <pic:cNvPicPr>
                      <a:picLocks noChangeAspect="1" noChangeArrowheads="1"/>
                    </pic:cNvPicPr>
                  </pic:nvPicPr>
                  <pic:blipFill>
                    <a:blip xmlns:r="http://schemas.openxmlformats.org/officeDocument/2006/relationships" r:embed="rId171"/>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rotazione del capitale investito netto</w:t>
      </w:r>
      <w:r>
        <w:t xml:space="preserve"> dal 31 dicembre 2017 al 31 dicembre 2022. Nel periodo evidenziato, il valore medio è stato pari a 1,05.</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39" name="092dc0d5d49d4eda9228344c4d899861.png" descr="_static/temp/092dc0d5d49d4eda9228344c4d899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92dc0d5d49d4eda9228344c4d899861.png" descr="_static/temp/092dc0d5d49d4eda9228344c4d899861.png"/>
                    <pic:cNvPicPr>
                      <a:picLocks noChangeAspect="1" noChangeArrowheads="1"/>
                    </pic:cNvPicPr>
                  </pic:nvPicPr>
                  <pic:blipFill>
                    <a:blip xmlns:r="http://schemas.openxmlformats.org/officeDocument/2006/relationships" r:embed="rId172"/>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rotazione del capitale investito netto</w:t>
      </w:r>
      <w:r>
        <w:t xml:space="preserve"> è pari a 0,98. Tale valore è stabile rispetto al 31 dicembre 2021.</w:t>
      </w:r>
    </w:p>
    <w:br w:type="page"/>
    <w:bookmarkEnd w:id="648"/>
    <w:bookmarkEnd w:id="649"/>
    <w:bookmarkEnd w:id="641"/>
    <w:bookmarkStart w:id="650" w:name="_ff8ef6b544b09c8d4758a2fca02f3ff0"/>
    <w:p>
      <w:pPr>
        <w:pStyle w:val="Heading2"/>
        <w:keepNext/>
      </w:pPr>
      <w:r>
        <w:t>Analisi di liquidità</w:t>
      </w:r>
    </w:p>
    <w:p>
      <w:pPr>
        <w:pStyle w:val="BodyText"/>
        <w:ind w:leftChars="0" w:left="0" w:right="0"/>
      </w:pPr>
      <w:r>
        <w:t xml:space="preserve">L’obiettivo dell’analisi di liquidità è di comprendere la capacità della </w:t>
      </w:r>
      <w:r>
        <w:rPr>
          <w:i/>
          <w:iCs/>
        </w:rPr>
        <w:t>Società</w:t>
      </w:r>
      <w:r>
        <w:t xml:space="preserve"> di far fronte alle proprie passività correnti, utilizzando attività liquide o altrimenti liquidabili in tempi brevi.</w:t>
      </w:r>
    </w:p>
    <w:bookmarkStart w:id="651" w:name="_688d6c36934ea829bf2f9004bb91207c"/>
    <w:bookmarkStart w:id="652" w:name="_60ad1be71d8145c251c9a5ba2511a003"/>
    <w:p>
      <w:pPr>
        <w:pStyle w:val="Heading3"/>
        <w:keepNext/>
      </w:pPr>
      <w:r>
        <w:t>Indice di liquidità primaria</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liquidità primaria, che consente di valutare la capacità della </w:t>
      </w:r>
      <w:r>
        <w:rPr>
          <w:i/>
          <w:iCs/>
        </w:rPr>
        <w:t>Società</w:t>
      </w:r>
      <w:r>
        <w:t xml:space="preserve"> di far fronte ai suoi obblighi di pagamento immediati, ponendo a confronto le attività correnti con le passività correnti, ma escludendo il valore delle rimanenze. Per approfondire meglio le dinamiche di questo indice, consulta il </w:t>
      </w:r>
      <w:hyperlink xmlns:r="http://schemas.openxmlformats.org/officeDocument/2006/relationships" r:id="rId173">
        <w:r>
          <w:rPr>
            <w:rStyle w:val="Hyperlink"/>
          </w:rPr>
          <w:t>Formulario</w:t>
        </w:r>
      </w:hyperlink>
      <w:r>
        <w:t>.</w:t>
      </w:r>
    </w:p>
    <w:p>
      <w:pPr>
        <w:pStyle w:val="BodyText"/>
        <w:ind w:leftChars="0" w:left="0" w:right="0"/>
      </w:pPr>
      <w:r>
        <w:t xml:space="preserve">Il grafico seguente pone a confronto l’indice </w:t>
      </w:r>
      <w:r>
        <w:rPr>
          <w:i/>
          <w:iCs/>
        </w:rPr>
        <w:t>Indice di liquidità primaria</w:t>
      </w:r>
      <w:r>
        <w:t xml:space="preserve"> al 31 dicembre 2022 rispetto al valore di riferimento di settore. Il valore dell’indice è pari a 1,29 e risulta migliore della media del settore (1,14).</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40" name="be7c7649f334f38a25aa06747ad5b914.png" descr="_static/temp/be7c7649f334f38a25aa06747ad5b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e7c7649f334f38a25aa06747ad5b914.png" descr="_static/temp/be7c7649f334f38a25aa06747ad5b914.png"/>
                    <pic:cNvPicPr>
                      <a:picLocks noChangeAspect="1" noChangeArrowheads="1"/>
                    </pic:cNvPicPr>
                  </pic:nvPicPr>
                  <pic:blipFill>
                    <a:blip xmlns:r="http://schemas.openxmlformats.org/officeDocument/2006/relationships" r:embed="rId174"/>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liquidità primaria</w:t>
      </w:r>
      <w:r>
        <w:t xml:space="preserve"> dal 31 dicembre 2017 al 31 dicembre 2022. Nel periodo evidenziato, il valore medio è stato pari a 1,08.</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41" name="2054cfc8cdedd57cda78aefe1d4b086a.png" descr="_static/temp/2054cfc8cdedd57cda78aefe1d4b08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2054cfc8cdedd57cda78aefe1d4b086a.png" descr="_static/temp/2054cfc8cdedd57cda78aefe1d4b086a.png"/>
                    <pic:cNvPicPr>
                      <a:picLocks noChangeAspect="1" noChangeArrowheads="1"/>
                    </pic:cNvPicPr>
                  </pic:nvPicPr>
                  <pic:blipFill>
                    <a:blip xmlns:r="http://schemas.openxmlformats.org/officeDocument/2006/relationships" r:embed="rId17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liquidità primaria</w:t>
      </w:r>
      <w:r>
        <w:t xml:space="preserve"> è pari a 1,29. Tale valore è in crescita del 60% rispetto al 31 dicembre 2021.</w:t>
      </w:r>
    </w:p>
    <w:bookmarkEnd w:id="651"/>
    <w:bookmarkEnd w:id="652"/>
    <w:bookmarkStart w:id="653" w:name="_736b44849e5e1721ff85cdee2b58ba80"/>
    <w:bookmarkStart w:id="654" w:name="_a92c63c0a97bf7506b75b6ec44834912"/>
    <w:p>
      <w:pPr>
        <w:pStyle w:val="Heading3"/>
        <w:keepNext/>
      </w:pPr>
      <w:r>
        <w:t>Indice di liquidità secondaria</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liquidità secondaria, che consente di valutare la capacità della </w:t>
      </w:r>
      <w:r>
        <w:rPr>
          <w:i/>
          <w:iCs/>
        </w:rPr>
        <w:t>Società</w:t>
      </w:r>
      <w:r>
        <w:t xml:space="preserve"> di far fronte ai suoi obblighi di pagamento immediati, confrontando le attività correnti con le passività correnti. Per approfondire meglio le dinamiche di questo indice, consulta il </w:t>
      </w:r>
      <w:hyperlink xmlns:r="http://schemas.openxmlformats.org/officeDocument/2006/relationships" r:id="rId176">
        <w:r>
          <w:rPr>
            <w:rStyle w:val="Hyperlink"/>
          </w:rPr>
          <w:t>Formulario</w:t>
        </w:r>
      </w:hyperlink>
      <w:r>
        <w:t>.</w:t>
      </w:r>
    </w:p>
    <w:p>
      <w:pPr>
        <w:pStyle w:val="BodyText"/>
        <w:ind w:leftChars="0" w:left="0" w:right="0"/>
      </w:pPr>
      <w:r>
        <w:t xml:space="preserve">Il grafico seguente pone a confronto l’indice </w:t>
      </w:r>
      <w:r>
        <w:rPr>
          <w:i/>
          <w:iCs/>
        </w:rPr>
        <w:t>Indice di liquidità secondaria</w:t>
      </w:r>
      <w:r>
        <w:t xml:space="preserve"> al 31 dicembre 2022 rispetto al valore di riferimento di settore. Il valore dell’indice è pari a 1,4 e risulta peggiore della media del settore (1,67).</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42" name="ccdf7b529a50a83b8e86687c6c9bcbad.png" descr="_static/temp/ccdf7b529a50a83b8e86687c6c9bc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cdf7b529a50a83b8e86687c6c9bcbad.png" descr="_static/temp/ccdf7b529a50a83b8e86687c6c9bcbad.png"/>
                    <pic:cNvPicPr>
                      <a:picLocks noChangeAspect="1" noChangeArrowheads="1"/>
                    </pic:cNvPicPr>
                  </pic:nvPicPr>
                  <pic:blipFill>
                    <a:blip xmlns:r="http://schemas.openxmlformats.org/officeDocument/2006/relationships" r:embed="rId177"/>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Indice di liquidità secondaria</w:t>
      </w:r>
      <w:r>
        <w:t xml:space="preserve"> dal 31 dicembre 2017 al 31 dicembre 2022. Nel periodo evidenziato, il valore medio è stato pari a 1,17.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43" name="539e0a2b1b4aa7252a3495232f711fb1.png" descr="_static/temp/539e0a2b1b4aa7252a3495232f711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539e0a2b1b4aa7252a3495232f711fb1.png" descr="_static/temp/539e0a2b1b4aa7252a3495232f711fb1.png"/>
                    <pic:cNvPicPr>
                      <a:picLocks noChangeAspect="1" noChangeArrowheads="1"/>
                    </pic:cNvPicPr>
                  </pic:nvPicPr>
                  <pic:blipFill>
                    <a:blip xmlns:r="http://schemas.openxmlformats.org/officeDocument/2006/relationships" r:embed="rId178"/>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Indice di liquidità secondaria</w:t>
      </w:r>
      <w:r>
        <w:t xml:space="preserve"> è pari a 1,4. Tale valore è in crescita del 52% rispetto al 31 dicembre 2021.</w:t>
      </w:r>
    </w:p>
    <w:bookmarkEnd w:id="653"/>
    <w:bookmarkEnd w:id="654"/>
    <w:bookmarkStart w:id="655" w:name="_3cae6402df1f1be1c5cbd1f6c68b09f8"/>
    <w:bookmarkStart w:id="656" w:name="_6ab335799aa828ac9d7f2ca6e1fd16ba"/>
    <w:p>
      <w:pPr>
        <w:pStyle w:val="Heading3"/>
        <w:keepNext/>
      </w:pPr>
      <w:r>
        <w:t>Durata media crediti commerciali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durata media dei crediti commerciali, che consente di calcolare il numero di giorni che trascorrono tra il momento in cui la </w:t>
      </w:r>
      <w:r>
        <w:rPr>
          <w:i/>
          <w:iCs/>
        </w:rPr>
        <w:t>Società</w:t>
      </w:r>
      <w:r>
        <w:t xml:space="preserve"> rileva un ricavo e il momento in cui incassa effettivamente il pagamento, inclusa l’IVA. Per approfondire meglio le dinamiche di questo indice, consulta il </w:t>
      </w:r>
      <w:hyperlink xmlns:r="http://schemas.openxmlformats.org/officeDocument/2006/relationships" r:id="rId179">
        <w:r>
          <w:rPr>
            <w:rStyle w:val="Hyperlink"/>
          </w:rPr>
          <w:t>Formulario</w:t>
        </w:r>
      </w:hyperlink>
      <w:r>
        <w:t>.</w:t>
      </w:r>
    </w:p>
    <w:p>
      <w:pPr>
        <w:pStyle w:val="BodyText"/>
        <w:ind w:leftChars="0" w:left="0" w:right="0"/>
      </w:pPr>
      <w:r>
        <w:t xml:space="preserve">Il grafico seguente pone a confronto l’indice </w:t>
      </w:r>
      <w:r>
        <w:rPr>
          <w:i/>
          <w:iCs/>
        </w:rPr>
        <w:t>Durata media crediti commerciali</w:t>
      </w:r>
      <w:r>
        <w:t xml:space="preserve"> al 31 dicembre 2022 rispetto al valore di riferimento di settore. Il valore dell’indice è pari a 53,5 giorni e risulta migliore della media del settore (65,4 giorni).</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44" name="dee755dd20df63c923ae23be00cc1a34.png" descr="_static/temp/dee755dd20df63c923ae23be00cc1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ee755dd20df63c923ae23be00cc1a34.png" descr="_static/temp/dee755dd20df63c923ae23be00cc1a34.png"/>
                    <pic:cNvPicPr>
                      <a:picLocks noChangeAspect="1" noChangeArrowheads="1"/>
                    </pic:cNvPicPr>
                  </pic:nvPicPr>
                  <pic:blipFill>
                    <a:blip xmlns:r="http://schemas.openxmlformats.org/officeDocument/2006/relationships" r:embed="rId180"/>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Durata media crediti commerciali</w:t>
      </w:r>
      <w:r>
        <w:t xml:space="preserve"> dal 31 dicembre 2017 al 31 dicembre 2022. Nel periodo evidenziato, il valore medio è stato pari a 59,1 giorni.</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45" name="3da81735585848d98a623f9b0808c1a7.png" descr="_static/temp/3da81735585848d98a623f9b0808c1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3da81735585848d98a623f9b0808c1a7.png" descr="_static/temp/3da81735585848d98a623f9b0808c1a7.png"/>
                    <pic:cNvPicPr>
                      <a:picLocks noChangeAspect="1" noChangeArrowheads="1"/>
                    </pic:cNvPicPr>
                  </pic:nvPicPr>
                  <pic:blipFill>
                    <a:blip xmlns:r="http://schemas.openxmlformats.org/officeDocument/2006/relationships" r:embed="rId181"/>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Durata media crediti commerciali</w:t>
      </w:r>
      <w:r>
        <w:t xml:space="preserve"> è pari a 53,47 giorni. Tale valore è in diminuzione del 3% rispetto al 31 dicembre 2021.</w:t>
      </w:r>
    </w:p>
    <w:bookmarkEnd w:id="655"/>
    <w:bookmarkEnd w:id="656"/>
    <w:bookmarkStart w:id="657" w:name="_82efaf9049637c50f4b4771258eab1e7"/>
    <w:bookmarkStart w:id="658" w:name="_dc596ba3daa410837746021ea38ff166"/>
    <w:p>
      <w:pPr>
        <w:pStyle w:val="Heading3"/>
        <w:keepNext/>
      </w:pPr>
      <w:r>
        <w:t>Durata media debiti commerciali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durata media dei debiti commerciali, che consente di calcolare il numero di giorni che trascorrono tra il momento in cui la </w:t>
      </w:r>
      <w:r>
        <w:rPr>
          <w:i/>
          <w:iCs/>
        </w:rPr>
        <w:t>Società</w:t>
      </w:r>
      <w:r>
        <w:t xml:space="preserve"> rileva un costo e il momento in cui effettua effettivamente il pagamento, inclusa l’IVA. Per approfondire meglio le dinamiche di questo indice, consulta il </w:t>
      </w:r>
      <w:r>
        <w:rPr>
          <w:rFonts w:ascii="Century Gothic" w:eastAsiaTheme="majorEastAsia" w:hAnsi="Century Gothic"/>
          <w:vertAlign w:val="baseline"/>
        </w:rPr>
        <w:t>Formulario</w:t>
      </w:r>
      <w:r>
        <w:t xml:space="preserve"> .</w:t>
      </w:r>
    </w:p>
    <w:p>
      <w:pPr>
        <w:pStyle w:val="BodyText"/>
        <w:ind w:leftChars="0" w:left="0" w:right="0"/>
      </w:pPr>
      <w:r>
        <w:t xml:space="preserve">Il grafico seguente pone a confronto l’indice </w:t>
      </w:r>
      <w:r>
        <w:rPr>
          <w:i/>
          <w:iCs/>
        </w:rPr>
        <w:t>Durata media debiti commerciali</w:t>
      </w:r>
      <w:r>
        <w:t xml:space="preserve"> al 31 dicembre 2022 rispetto al valore di riferimento di settore. Il valore dell’indice è pari a 54,6 giorni e risulta peggiore della media del settore (77,8 giorni).</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46" name="500f04d53922044ed506546c92ec7e07.png" descr="_static/temp/500f04d53922044ed506546c92ec7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500f04d53922044ed506546c92ec7e07.png" descr="_static/temp/500f04d53922044ed506546c92ec7e07.png"/>
                    <pic:cNvPicPr>
                      <a:picLocks noChangeAspect="1" noChangeArrowheads="1"/>
                    </pic:cNvPicPr>
                  </pic:nvPicPr>
                  <pic:blipFill>
                    <a:blip xmlns:r="http://schemas.openxmlformats.org/officeDocument/2006/relationships" r:embed="rId182"/>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Durata media debiti commerciali</w:t>
      </w:r>
      <w:r>
        <w:t xml:space="preserve"> dal 31 dicembre 2017 al 31 dicembre 2022. Nel periodo evidenziato, il valore medio è stato pari a 57,23 giorni.</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47" name="b9a863b63c853488972c2c2a7ccc88fe.png" descr="_static/temp/b9a863b63c853488972c2c2a7ccc88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b9a863b63c853488972c2c2a7ccc88fe.png" descr="_static/temp/b9a863b63c853488972c2c2a7ccc88fe.png"/>
                    <pic:cNvPicPr>
                      <a:picLocks noChangeAspect="1" noChangeArrowheads="1"/>
                    </pic:cNvPicPr>
                  </pic:nvPicPr>
                  <pic:blipFill>
                    <a:blip xmlns:r="http://schemas.openxmlformats.org/officeDocument/2006/relationships" r:embed="rId183"/>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Durata media debiti commerciali</w:t>
      </w:r>
      <w:r>
        <w:t xml:space="preserve"> è pari a 54,62 giorni. Tale valore è stabile rispetto al 31 dicembre 2021.</w:t>
      </w:r>
    </w:p>
    <w:bookmarkEnd w:id="657"/>
    <w:bookmarkEnd w:id="658"/>
    <w:bookmarkStart w:id="659" w:name="_ce4cb9573ab0a791619b88a681925453"/>
    <w:bookmarkStart w:id="660" w:name="_cb9463c3dfd10421dcc0092c06869de3"/>
    <w:p>
      <w:pPr>
        <w:pStyle w:val="Heading3"/>
        <w:keepNext/>
      </w:pPr>
      <w:r>
        <w:t>Durata media delle scorte di magazzino</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durata media delle scorte di magazzino, che consente di calcolare il numero di giorni in cui le materie prime o le merci rimangono in magazzino prima di essere utilizzate per la produzione o vendute. Per approfondire meglio le dinamiche di questo indice, consulta il </w:t>
      </w:r>
      <w:hyperlink xmlns:r="http://schemas.openxmlformats.org/officeDocument/2006/relationships" r:id="rId184">
        <w:r>
          <w:rPr>
            <w:rStyle w:val="Hyperlink"/>
          </w:rPr>
          <w:t>Formulario</w:t>
        </w:r>
      </w:hyperlink>
      <w:r>
        <w:t>.</w:t>
      </w:r>
    </w:p>
    <w:p>
      <w:pPr>
        <w:pStyle w:val="BodyText"/>
        <w:ind w:leftChars="0" w:left="0" w:right="0"/>
      </w:pPr>
      <w:r>
        <w:t xml:space="preserve">Il grafico seguente pone a confronto l’indice </w:t>
      </w:r>
      <w:r>
        <w:rPr>
          <w:i/>
          <w:iCs/>
        </w:rPr>
        <w:t>Durata media delle scorte di magazzino</w:t>
      </w:r>
      <w:r>
        <w:t xml:space="preserve"> al 31 dicembre 2022 rispetto al valore di riferimento di settore. Il valore dell’indice è pari a 75,6 giorni e risulta peggiore della media del settore (54,8 giorni).</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48" name="8b7428795bed3c8a537f830ac89576cf.png" descr="_static/temp/8b7428795bed3c8a537f830ac89576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8b7428795bed3c8a537f830ac89576cf.png" descr="_static/temp/8b7428795bed3c8a537f830ac89576cf.png"/>
                    <pic:cNvPicPr>
                      <a:picLocks noChangeAspect="1" noChangeArrowheads="1"/>
                    </pic:cNvPicPr>
                  </pic:nvPicPr>
                  <pic:blipFill>
                    <a:blip xmlns:r="http://schemas.openxmlformats.org/officeDocument/2006/relationships" r:embed="rId185"/>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Durata media delle scorte di magazzino</w:t>
      </w:r>
      <w:r>
        <w:t xml:space="preserve"> dal 31 dicembre 2017 al 31 dicembre 2022. Nel periodo evidenziato, il valore medio è stato pari a 79,77 giorni.</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49" name="eb743e58dcae99860a93dca87d452448.png" descr="_static/temp/eb743e58dcae99860a93dca87d45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eb743e58dcae99860a93dca87d452448.png" descr="_static/temp/eb743e58dcae99860a93dca87d452448.png"/>
                    <pic:cNvPicPr>
                      <a:picLocks noChangeAspect="1" noChangeArrowheads="1"/>
                    </pic:cNvPicPr>
                  </pic:nvPicPr>
                  <pic:blipFill>
                    <a:blip xmlns:r="http://schemas.openxmlformats.org/officeDocument/2006/relationships" r:embed="rId186"/>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Durata media delle scorte di magazzino</w:t>
      </w:r>
      <w:r>
        <w:t xml:space="preserve"> è pari a 75,56 giorni. Tale valore è in diminuzione del 10% rispetto al 31 dicembre 2021.</w:t>
      </w:r>
    </w:p>
    <w:bookmarkEnd w:id="659"/>
    <w:bookmarkEnd w:id="660"/>
    <w:bookmarkStart w:id="661" w:name="_807b590fe44de9a66ec0acf4e9a00473"/>
    <w:bookmarkStart w:id="662" w:name="_5cbed1201ef9de7f831f53ad4a53cb5b"/>
    <w:p>
      <w:pPr>
        <w:pStyle w:val="Heading3"/>
        <w:keepNext/>
      </w:pPr>
      <w:r>
        <w:t>Durata media ciclo commerciale</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all’indice di durata media del ciclo commerciale, che consente di calcolare il numero di giorni che intercorrono tra il momento in cui la </w:t>
      </w:r>
      <w:r>
        <w:rPr>
          <w:i/>
          <w:iCs/>
        </w:rPr>
        <w:t>Società</w:t>
      </w:r>
      <w:r>
        <w:t xml:space="preserve"> effettua un pagamento e il momento in cui incassa un pagamento. Per approfondire meglio le dinamiche di questo indice, consulta il </w:t>
      </w:r>
      <w:hyperlink xmlns:r="http://schemas.openxmlformats.org/officeDocument/2006/relationships" r:id="rId187">
        <w:r>
          <w:rPr>
            <w:rStyle w:val="Hyperlink"/>
          </w:rPr>
          <w:t>Formulario</w:t>
        </w:r>
      </w:hyperlink>
      <w:r>
        <w:t>.</w:t>
      </w:r>
    </w:p>
    <w:p>
      <w:pPr>
        <w:pStyle w:val="BodyText"/>
        <w:ind w:leftChars="0" w:left="0" w:right="0"/>
      </w:pPr>
      <w:r>
        <w:t xml:space="preserve">Il grafico seguente pone a confronto l’indice </w:t>
      </w:r>
      <w:r>
        <w:rPr>
          <w:i/>
          <w:iCs/>
        </w:rPr>
        <w:t>Durata media ciclo commerciale</w:t>
      </w:r>
      <w:r>
        <w:t xml:space="preserve"> al 31 dicembre 2022 rispetto al valore di riferimento di settore. Il valore dell’indice è pari a 74,4 giorni e risulta peggiore della media del settore (34,3 giorni).</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50" name="11112b9f766a7b4c4af52c982ca52a76.png" descr="_static/temp/11112b9f766a7b4c4af52c982ca52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1112b9f766a7b4c4af52c982ca52a76.png" descr="_static/temp/11112b9f766a7b4c4af52c982ca52a76.png"/>
                    <pic:cNvPicPr>
                      <a:picLocks noChangeAspect="1" noChangeArrowheads="1"/>
                    </pic:cNvPicPr>
                  </pic:nvPicPr>
                  <pic:blipFill>
                    <a:blip xmlns:r="http://schemas.openxmlformats.org/officeDocument/2006/relationships" r:embed="rId188"/>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Durata media ciclo commerciale</w:t>
      </w:r>
      <w:r>
        <w:t xml:space="preserve"> dal 31 dicembre 2017 al 31 dicembre 2022. Nel periodo evidenziato, il valore medio è stato pari a 81,64 giorni.</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51" name="3e599f2e59b13a5c9d244712448a55ea.png" descr="_static/temp/3e599f2e59b13a5c9d244712448a55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3e599f2e59b13a5c9d244712448a55ea.png" descr="_static/temp/3e599f2e59b13a5c9d244712448a55ea.png"/>
                    <pic:cNvPicPr>
                      <a:picLocks noChangeAspect="1" noChangeArrowheads="1"/>
                    </pic:cNvPicPr>
                  </pic:nvPicPr>
                  <pic:blipFill>
                    <a:blip xmlns:r="http://schemas.openxmlformats.org/officeDocument/2006/relationships" r:embed="rId189"/>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Durata media ciclo commerciale</w:t>
      </w:r>
      <w:r>
        <w:t xml:space="preserve"> è pari a 74,41 giorni. Tale valore è in diminuzione del 12% rispetto al 31 dicembre 2021.</w:t>
      </w:r>
    </w:p>
    <w:bookmarkEnd w:id="661"/>
    <w:bookmarkEnd w:id="662"/>
    <w:bookmarkStart w:id="663" w:name="_fa4749082290bd617c162fbbe61b37af"/>
    <w:bookmarkStart w:id="664" w:name="_f290925ff59564c8421dbe02defca376"/>
    <w:p>
      <w:pPr>
        <w:pStyle w:val="Heading3"/>
        <w:keepNext/>
      </w:pPr>
      <w:r>
        <w:t>Cash coverage delle passività correnti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 Cash coverage delle passività correnti, che consente di valutare la capacità di far fronte all’indebitamento corrente utilizzando esclusivamente le disponibilità liquide. Per approfondire meglio le dinamiche di questo indice, consulta il </w:t>
      </w:r>
      <w:hyperlink xmlns:r="http://schemas.openxmlformats.org/officeDocument/2006/relationships" r:id="rId190">
        <w:r>
          <w:rPr>
            <w:rStyle w:val="Hyperlink"/>
          </w:rPr>
          <w:t>Formulario</w:t>
        </w:r>
      </w:hyperlink>
      <w:r>
        <w:t>.</w:t>
      </w:r>
    </w:p>
    <w:p>
      <w:pPr>
        <w:pStyle w:val="BodyText"/>
        <w:ind w:leftChars="0" w:left="0" w:right="0"/>
      </w:pPr>
      <w:r>
        <w:t xml:space="preserve">Il grafico seguente pone a confronto l’indice </w:t>
      </w:r>
      <w:r>
        <w:rPr>
          <w:i/>
          <w:iCs/>
        </w:rPr>
        <w:t>Cash coverage delle passività correnti</w:t>
      </w:r>
      <w:r>
        <w:t xml:space="preserve"> al 31 dicembre 2022 rispetto al valore di riferimento di settore. Il valore dell’indice è pari a 0,72 e risulta migliore della media del settore (0,12).</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52" name="d0b505a5cb2fce0c08fc75123be354c0.png" descr="_static/temp/d0b505a5cb2fce0c08fc75123be354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0b505a5cb2fce0c08fc75123be354c0.png" descr="_static/temp/d0b505a5cb2fce0c08fc75123be354c0.png"/>
                    <pic:cNvPicPr>
                      <a:picLocks noChangeAspect="1" noChangeArrowheads="1"/>
                    </pic:cNvPicPr>
                  </pic:nvPicPr>
                  <pic:blipFill>
                    <a:blip xmlns:r="http://schemas.openxmlformats.org/officeDocument/2006/relationships" r:embed="rId191"/>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Cash coverage delle passività correnti</w:t>
      </w:r>
      <w:r>
        <w:t xml:space="preserve"> dal 31 dicembre 2017 al 31 dicembre 2022. Nel periodo evidenziato, il valore medio è stato pari a 0,47.</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53" name="75d5c4b9a457c918398a9d41c6dd91b7.png" descr="_static/temp/75d5c4b9a457c918398a9d41c6dd9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75d5c4b9a457c918398a9d41c6dd91b7.png" descr="_static/temp/75d5c4b9a457c918398a9d41c6dd91b7.png"/>
                    <pic:cNvPicPr>
                      <a:picLocks noChangeAspect="1" noChangeArrowheads="1"/>
                    </pic:cNvPicPr>
                  </pic:nvPicPr>
                  <pic:blipFill>
                    <a:blip xmlns:r="http://schemas.openxmlformats.org/officeDocument/2006/relationships" r:embed="rId192"/>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Cash coverage delle passività correnti</w:t>
      </w:r>
      <w:r>
        <w:t xml:space="preserve"> è pari a 0,72. Tale valore è in crescita del 337% rispetto al 31 dicembre 2021.</w:t>
      </w:r>
    </w:p>
    <w:bookmarkEnd w:id="663"/>
    <w:bookmarkEnd w:id="664"/>
    <w:bookmarkStart w:id="665" w:name="_78b366b12e67001dff5769ca5fabd776"/>
    <w:bookmarkStart w:id="666" w:name="_8917a6ff2f393431151b91a348d1bc6e"/>
    <w:p>
      <w:pPr>
        <w:pStyle w:val="Heading3"/>
        <w:keepNext/>
      </w:pPr>
      <w:r>
        <w:t>Cash coverage dei ricavi</w:t>
      </w:r>
    </w:p>
    <w:p>
      <w:pPr>
        <w:pStyle w:val="BodyText"/>
        <w:ind w:leftChars="0" w:left="0" w:right="0"/>
      </w:pPr>
      <w:r>
        <w:t xml:space="preserve">La presente sottosezione degli </w:t>
      </w:r>
      <w:hyperlink w:anchor="_0d53367c318bd876ebc517678bf6612b">
        <w:r>
          <w:rPr>
            <w:rStyle w:val="Hyperlink"/>
          </w:rPr>
          <w:t>Indici di performance</w:t>
        </w:r>
      </w:hyperlink>
      <w:r>
        <w:t xml:space="preserve"> è dedicata al Cash coverage dei ricavi, un indice astratto che consente di valutare la capacità della </w:t>
      </w:r>
      <w:r>
        <w:rPr>
          <w:i/>
          <w:iCs/>
        </w:rPr>
        <w:t>Società</w:t>
      </w:r>
      <w:r>
        <w:t xml:space="preserve"> di convertire i suoi ricavi in liquidità. Per approfondire meglio le dinamiche di questo indice, consulta il </w:t>
      </w:r>
      <w:hyperlink xmlns:r="http://schemas.openxmlformats.org/officeDocument/2006/relationships" r:id="rId193">
        <w:r>
          <w:rPr>
            <w:rStyle w:val="Hyperlink"/>
          </w:rPr>
          <w:t>Formulario</w:t>
        </w:r>
      </w:hyperlink>
      <w:r>
        <w:t>.</w:t>
      </w:r>
    </w:p>
    <w:p>
      <w:pPr>
        <w:pStyle w:val="BodyText"/>
        <w:ind w:leftChars="0" w:left="0" w:right="0"/>
      </w:pPr>
      <w:r>
        <w:t xml:space="preserve">Il grafico seguente pone a confronto l’indice </w:t>
      </w:r>
      <w:r>
        <w:rPr>
          <w:i/>
          <w:iCs/>
        </w:rPr>
        <w:t>Cash coverage dei ricavi</w:t>
      </w:r>
      <w:r>
        <w:t xml:space="preserve"> al 31 dicembre 2022 rispetto al valore di riferimento di settore. Il valore dell’indice è pari a 0,21 e risulta migliore della media del settore (0,045).</w:t>
      </w:r>
    </w:p>
    <w:p>
      <w:pPr>
        <w:pStyle w:val="Image"/>
        <w:ind w:leftChars="0" w:left="0" w:right="0"/>
      </w:pPr>
      <w:r>
        <w:rPr>
          <w:noProof/>
        </w:rPr>
        <w:drawing>
          <wp:inline xmlns:wp="http://schemas.openxmlformats.org/drawingml/2006/wordprocessingDrawing" distT="0" distB="0" distL="0" distR="0">
            <wp:extent cx="6476365" cy="1633383"/>
            <wp:effectExtent l="25400" t="0" r="0" b="0"/>
            <wp:docPr id="254" name="027c98c03d62871bbd0a5fc5a9697fee.png" descr="_static/temp/027c98c03d62871bbd0a5fc5a9697f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27c98c03d62871bbd0a5fc5a9697fee.png" descr="_static/temp/027c98c03d62871bbd0a5fc5a9697fee.png"/>
                    <pic:cNvPicPr>
                      <a:picLocks noChangeAspect="1" noChangeArrowheads="1"/>
                    </pic:cNvPicPr>
                  </pic:nvPicPr>
                  <pic:blipFill>
                    <a:blip xmlns:r="http://schemas.openxmlformats.org/officeDocument/2006/relationships" r:embed="rId194"/>
                    <a:srcRect/>
                    <a:stretch>
                      <a:fillRect/>
                    </a:stretch>
                  </pic:blipFill>
                  <pic:spPr bwMode="auto">
                    <a:xfrm>
                      <a:off x="0" y="0"/>
                      <a:ext cx="6476365" cy="1633383"/>
                    </a:xfrm>
                    <a:prstGeom prst="rect">
                      <a:avLst/>
                    </a:prstGeom>
                    <a:noFill/>
                  </pic:spPr>
                </pic:pic>
              </a:graphicData>
            </a:graphic>
          </wp:inline>
        </w:drawing>
      </w:r>
    </w:p>
    <w:p>
      <w:pPr>
        <w:pStyle w:val="BodyText"/>
        <w:ind w:leftChars="0" w:left="0" w:right="0"/>
      </w:pPr>
      <w:r>
        <w:t xml:space="preserve">Il grafico seguente mostra l’analisi dell’andamento della voce </w:t>
      </w:r>
      <w:r>
        <w:rPr>
          <w:i/>
          <w:iCs/>
        </w:rPr>
        <w:t>Cash coverage dei ricavi</w:t>
      </w:r>
      <w:r>
        <w:t xml:space="preserve"> dal 31 dicembre 2017 al 31 dicembre 2022. Nel periodo evidenziato, il valore medio è stato pari a 0,15.</w:t>
      </w:r>
    </w:p>
    <w:p>
      <w:pPr>
        <w:pStyle w:val="Image"/>
        <w:ind w:leftChars="0" w:left="0" w:right="0"/>
      </w:pPr>
      <w:r>
        <w:rPr>
          <w:noProof/>
        </w:rPr>
        <w:drawing>
          <wp:inline xmlns:wp="http://schemas.openxmlformats.org/drawingml/2006/wordprocessingDrawing" distT="0" distB="0" distL="0" distR="0">
            <wp:extent cx="6476365" cy="3266766"/>
            <wp:effectExtent l="25400" t="0" r="0" b="0"/>
            <wp:docPr id="255" name="659fa353741ef739230ae7bd4f6086bb.png" descr="_static/temp/659fa353741ef739230ae7bd4f6086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659fa353741ef739230ae7bd4f6086bb.png" descr="_static/temp/659fa353741ef739230ae7bd4f6086bb.png"/>
                    <pic:cNvPicPr>
                      <a:picLocks noChangeAspect="1" noChangeArrowheads="1"/>
                    </pic:cNvPicPr>
                  </pic:nvPicPr>
                  <pic:blipFill>
                    <a:blip xmlns:r="http://schemas.openxmlformats.org/officeDocument/2006/relationships" r:embed="rId195"/>
                    <a:srcRect/>
                    <a:stretch>
                      <a:fillRect/>
                    </a:stretch>
                  </pic:blipFill>
                  <pic:spPr bwMode="auto">
                    <a:xfrm>
                      <a:off x="0" y="0"/>
                      <a:ext cx="6476365" cy="3266766"/>
                    </a:xfrm>
                    <a:prstGeom prst="rect">
                      <a:avLst/>
                    </a:prstGeom>
                    <a:noFill/>
                  </pic:spPr>
                </pic:pic>
              </a:graphicData>
            </a:graphic>
          </wp:inline>
        </w:drawing>
      </w:r>
    </w:p>
    <w:p>
      <w:pPr>
        <w:pStyle w:val="BodyText"/>
        <w:ind w:leftChars="0" w:left="0" w:right="0"/>
      </w:pPr>
      <w:r>
        <w:t xml:space="preserve">Dal grafico si evince che al 31 dicembre 2022 il valore della voce </w:t>
      </w:r>
      <w:r>
        <w:rPr>
          <w:i/>
          <w:iCs/>
        </w:rPr>
        <w:t>Cash coverage dei ricavi</w:t>
      </w:r>
      <w:r>
        <w:t xml:space="preserve"> è pari a 0,21. Tale valore è in crescita del 387% rispetto al 31 dicembre 2021.</w:t>
      </w:r>
    </w:p>
    <w:br w:type="page"/>
    <w:bookmarkEnd w:id="665"/>
    <w:bookmarkEnd w:id="666"/>
    <w:bookmarkEnd w:id="650"/>
    <w:bookmarkEnd w:id="625"/>
    <w:bookmarkEnd w:id="626"/>
    <w:bookmarkEnd w:id="627"/>
    <w:bookmarkStart w:id="667" w:name="_95cb073b6c97af021bd47e55953bcb31"/>
    <w:bookmarkStart w:id="668" w:name="_bd51fba6887024b1e341aace858fcd88"/>
    <w:bookmarkStart w:id="669" w:name="_c4302d37713c58f2dd69f99ca7ed8ce6"/>
    <w:p>
      <w:pPr>
        <w:pStyle w:val="Heading1"/>
        <w:keepNext/>
        <w:pageBreakBefore w:val="1"/>
      </w:pPr>
      <w:r>
        <w:t>Analisi indici di allerta</w:t>
      </w:r>
    </w:p>
    <w:p>
      <w:pPr>
        <w:pStyle w:val="BodyText"/>
        <w:ind w:leftChars="0" w:left="0" w:right="0"/>
      </w:pPr>
      <w:r>
        <w:t>Questa sezione contiene gli indici di allerta dello stato di crisi d’impresa, così come individuati dal Consiglio Nazionale dei Dottori Commercialisti e degli Esperti Contabili («CNDCEC»).</w:t>
      </w:r>
    </w:p>
    <w:p>
      <w:pPr>
        <w:pStyle w:val="BodyText"/>
        <w:ind w:leftChars="0" w:left="0" w:right="0"/>
      </w:pPr>
      <w:r>
        <w:t xml:space="preserve">Gli indici consentono di monitorare significative variabili economico-finanziarie della </w:t>
      </w:r>
      <w:r>
        <w:rPr>
          <w:i/>
          <w:iCs/>
        </w:rPr>
        <w:t>Società</w:t>
      </w:r>
      <w:r>
        <w:t>, con l’obiettivo di prevenire situazioni di crisi e consentire un rapido intervento. Tale sistema di monitoraggio si basa su una logica sequenziale:</w:t>
      </w:r>
    </w:p>
    <w:p>
      <w:pPr>
        <w:pStyle w:val="ListNumber"/>
        <w:numPr>
          <w:ilvl w:val="0"/>
          <w:numId w:val="12"/>
        </w:numPr>
        <w:ind w:leftChars="0" w:left="480" w:right="0"/>
      </w:pPr>
      <w:r>
        <w:t>Il superamento del valore soglia del primo livello rende ipotizzabile la presenza della crisi</w:t>
      </w:r>
    </w:p>
    <w:p>
      <w:pPr>
        <w:pStyle w:val="ListNumber"/>
        <w:numPr>
          <w:ilvl w:val="0"/>
          <w:numId w:val="12"/>
        </w:numPr>
        <w:ind w:leftChars="0" w:left="480" w:right="0"/>
      </w:pPr>
      <w:r>
        <w:t>In assenza di superamento del primo livello, si passa alla verifica del secondo livello, e in presenza di superamento della relativa soglia è ipotizzabile la crisi</w:t>
      </w:r>
    </w:p>
    <w:p>
      <w:pPr>
        <w:pStyle w:val="ListNumber"/>
        <w:numPr>
          <w:ilvl w:val="0"/>
          <w:numId w:val="12"/>
        </w:numPr>
        <w:ind w:leftChars="0" w:left="480" w:right="0"/>
      </w:pPr>
      <w:r>
        <w:t>In mancanza del dato, si passa al gruppo di indici di settore</w:t>
      </w:r>
    </w:p>
    <w:bookmarkStart w:id="670" w:name="_51286b09cb8d9363e1ca1ccb7d24427e"/>
    <w:p>
      <w:pPr>
        <w:pStyle w:val="Heading2"/>
        <w:keepNext/>
      </w:pPr>
      <w:r>
        <w:t>Livello 1: Patrimonio netto negativo</w:t>
      </w:r>
    </w:p>
    <w:p>
      <w:pPr>
        <w:pStyle w:val="BodyText"/>
        <w:ind w:leftChars="0" w:left="0" w:right="0"/>
      </w:pPr>
      <w:r>
        <w:t xml:space="preserve">L’obiettivo del primo livello è di monitorare il patrimonio netto, in quanto la presenza di un patrimonio netto negativo o al di sotto del limite di legge è indicatore di crisi. Generalmente, il patrimonio netto diviene negativo o scende sotto il limite legale per effetto di perdite di esercizio, anche cumulate e rappresenta causa di scioglimento della società di capitali. Per approfondire meglio le dinamiche di questo indice, consulta il </w:t>
      </w:r>
      <w:hyperlink xmlns:r="http://schemas.openxmlformats.org/officeDocument/2006/relationships" r:id="rId196">
        <w:r>
          <w:rPr>
            <w:rStyle w:val="Hyperlink"/>
          </w:rPr>
          <w:t>Formulario</w:t>
        </w:r>
      </w:hyperlink>
      <w:bookmarkStart w:id="671" w:name="_177e9db9590c0cd75feb9ea8e67c5dff"/>
      <w:bookmarkEnd w:id="671"/>
      <w:r>
        <w:t>.</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Primo livello</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Patrimonio netto negativo</w:t>
            </w:r>
          </w:p>
        </w:tc>
        <w:tc>
          <w:tcPr>
            <w:cnfStyle w:evenVBand="true" w:oddVBand="false" w:firstColumn="false"/>
            <w:tcW w:w="11.434303%" w:type="pct"/>
          </w:tcPr>
          <w:p>
            <w:pPr>
              <w:pStyle w:val="table-level-1"/>
              <w:ind w:leftChars="0" w:left="0" w:right="0"/>
              <w:keepNext/>
            </w:pPr>
            <w:r>
              <w:t>3.673.886</w:t>
            </w:r>
          </w:p>
        </w:tc>
        <w:tc>
          <w:tcPr>
            <w:cnfStyle w:evenVBand="false" w:oddVBand="true" w:firstColumn="false"/>
            <w:tcW w:w="11.434303%" w:type="pct"/>
          </w:tcPr>
          <w:p>
            <w:pPr>
              <w:pStyle w:val="table-level-1"/>
              <w:ind w:leftChars="0" w:left="0" w:right="0"/>
              <w:keepNext/>
            </w:pPr>
            <w:r>
              <w:t>3.045.497</w:t>
            </w:r>
          </w:p>
        </w:tc>
        <w:tc>
          <w:tcPr>
            <w:cnfStyle w:evenVBand="true" w:oddVBand="false" w:firstColumn="false"/>
            <w:tcW w:w="11.434303%" w:type="pct"/>
          </w:tcPr>
          <w:p>
            <w:pPr>
              <w:pStyle w:val="table-level-1"/>
              <w:ind w:leftChars="0" w:left="0" w:right="0"/>
              <w:keepNext/>
            </w:pPr>
            <w:r>
              <w:t>2.159.436</w:t>
            </w:r>
          </w:p>
        </w:tc>
        <w:tc>
          <w:tcPr>
            <w:cnfStyle w:evenVBand="false" w:oddVBand="true" w:firstColumn="false"/>
            <w:tcW w:w="11.434303%" w:type="pct"/>
          </w:tcPr>
          <w:p>
            <w:pPr>
              <w:pStyle w:val="table-level-1"/>
              <w:ind w:leftChars="0" w:left="0" w:right="0"/>
              <w:keepNext/>
            </w:pPr>
            <w:r>
              <w:t>1.802.268</w:t>
            </w:r>
          </w:p>
        </w:tc>
        <w:tc>
          <w:tcPr>
            <w:cnfStyle w:evenVBand="true" w:oddVBand="false" w:firstColumn="false"/>
            <w:tcW w:w="11.434303%" w:type="pct"/>
          </w:tcPr>
          <w:p>
            <w:pPr>
              <w:pStyle w:val="table-level-1"/>
              <w:ind w:leftChars="0" w:left="0" w:right="0"/>
              <w:keepNext/>
            </w:pPr>
            <w:r>
              <w:t>1.354.214</w:t>
            </w:r>
          </w:p>
        </w:tc>
        <w:tc>
          <w:tcPr>
            <w:cnfStyle w:evenVBand="false" w:oddVBand="true" w:firstColumn="false"/>
            <w:tcW w:w="11.434303%" w:type="pct"/>
          </w:tcPr>
          <w:p>
            <w:pPr>
              <w:pStyle w:val="table-level-1"/>
              <w:ind w:leftChars="0" w:left="0" w:right="0"/>
              <w:keepNext/>
            </w:pPr>
            <w:r>
              <w:t>1.481.865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r>
    </w:tbl>
    <w:p>
      <w:pPr>
        <w:pStyle w:val="TableBottomMargin"/>
      </w:pPr>
    </w:p>
    <w:p>
      <w:pPr>
        <w:pStyle w:val="BodyText"/>
        <w:ind w:leftChars="0" w:left="0" w:right="0"/>
      </w:pPr>
      <w:r>
        <w:t xml:space="preserve">Al 31 dicembre 2022 il patrimonio netto della </w:t>
      </w:r>
      <w:r>
        <w:rPr>
          <w:i/>
          <w:iCs/>
        </w:rPr>
        <w:t>Società</w:t>
      </w:r>
      <w:r>
        <w:t xml:space="preserve"> è positivo, tuttavia, al fine di escludere un possibile stato di crisi, è necessario spostare l’analisi al secondo livello di monitoraggio.</w:t>
      </w:r>
    </w:p>
    <w:bookmarkEnd w:id="670"/>
    <w:bookmarkStart w:id="672" w:name="_6cd786a9bca77e3c1ac3a40055737504"/>
    <w:p>
      <w:pPr>
        <w:pStyle w:val="Heading2"/>
        <w:keepNext/>
      </w:pPr>
      <w:r>
        <w:t>Livello 2: DSCR (debt service coverage ratio)</w:t>
      </w:r>
    </w:p>
    <w:p>
      <w:pPr>
        <w:pStyle w:val="BodyText"/>
        <w:ind w:leftChars="0" w:left="0" w:right="0"/>
      </w:pPr>
      <w:r>
        <w:t xml:space="preserve">L’obiettivo del secondo livello è di monitorare il DSCR, in quanto la presenza di un DSCR a sei mesi inferiore ad 1 è indicatore di crisi. Rispetto alle indicazioni del CNDCEC il DSCR è calcolato su base annuale, come rapporto tra i flussi di cassa liberi dell’anno corrente e i debiti nello stesso arco temporale. Per approfondire meglio le dinamiche di questo indice, consulta il </w:t>
      </w:r>
      <w:hyperlink xmlns:r="http://schemas.openxmlformats.org/officeDocument/2006/relationships" r:id="rId197">
        <w:r>
          <w:rPr>
            <w:rStyle w:val="Hyperlink"/>
          </w:rPr>
          <w:t>Formulario</w:t>
        </w:r>
      </w:hyperlink>
      <w:bookmarkStart w:id="673" w:name="_e4fc31f21be2eb4d3d8e4fe91d2a211b"/>
      <w:bookmarkEnd w:id="673"/>
      <w:r>
        <w:t>.</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Secondo livello</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DSCR</w:t>
            </w:r>
          </w:p>
        </w:tc>
        <w:tc>
          <w:tcPr>
            <w:cnfStyle w:evenVBand="true" w:oddVBand="false" w:firstColumn="false"/>
            <w:tcW w:w="11.434303%" w:type="pct"/>
          </w:tcPr>
          <w:p>
            <w:pPr>
              <w:pStyle w:val="table-level-1"/>
              <w:ind w:leftChars="0" w:left="0" w:right="0"/>
              <w:keepNext/>
            </w:pPr>
            <w:r>
              <w:t>1,22</w:t>
            </w:r>
          </w:p>
        </w:tc>
        <w:tc>
          <w:tcPr>
            <w:cnfStyle w:evenVBand="false" w:oddVBand="true" w:firstColumn="false"/>
            <w:tcW w:w="11.434303%" w:type="pct"/>
          </w:tcPr>
          <w:p>
            <w:pPr>
              <w:pStyle w:val="table-level-1"/>
              <w:ind w:leftChars="0" w:left="0" w:right="0"/>
              <w:keepNext/>
            </w:pPr>
            <w:r>
              <w:t>1,63</w:t>
            </w:r>
          </w:p>
        </w:tc>
        <w:tc>
          <w:tcPr>
            <w:cnfStyle w:evenVBand="true" w:oddVBand="false" w:firstColumn="false"/>
            <w:tcW w:w="11.434303%" w:type="pct"/>
          </w:tcPr>
          <w:p>
            <w:pPr>
              <w:pStyle w:val="table-level-1"/>
              <w:ind w:leftChars="0" w:left="0" w:right="0"/>
              <w:keepNext/>
            </w:pPr>
            <w:r>
              <w:t>1,42</w:t>
            </w:r>
          </w:p>
        </w:tc>
        <w:tc>
          <w:tcPr>
            <w:cnfStyle w:evenVBand="false" w:oddVBand="true" w:firstColumn="false"/>
            <w:tcW w:w="11.434303%" w:type="pct"/>
          </w:tcPr>
          <w:p>
            <w:pPr>
              <w:pStyle w:val="table-level-1"/>
              <w:ind w:leftChars="0" w:left="0" w:right="0"/>
              <w:keepNext/>
            </w:pPr>
            <w:r>
              <w:t>1,5</w:t>
            </w:r>
          </w:p>
        </w:tc>
        <w:tc>
          <w:tcPr>
            <w:cnfStyle w:evenVBand="true" w:oddVBand="false" w:firstColumn="false"/>
            <w:tcW w:w="11.434303%" w:type="pct"/>
          </w:tcPr>
          <w:p>
            <w:pPr>
              <w:pStyle w:val="table-level-1"/>
              <w:ind w:leftChars="0" w:left="0" w:right="0"/>
              <w:keepNext/>
            </w:pPr>
            <w:r>
              <w:t>1,71</w:t>
            </w:r>
          </w:p>
        </w:tc>
        <w:tc>
          <w:tcPr>
            <w:cnfStyle w:evenVBand="false" w:oddVBand="true" w:firstColumn="false"/>
            <w:tcW w:w="11.434303%" w:type="pct"/>
          </w:tcPr>
          <w:p>
            <w:pPr>
              <w:pStyle w:val="table-level-1"/>
              <w:ind w:leftChars="0" w:left="0" w:right="0"/>
              <w:keepNext/>
            </w:pPr>
            <w:r>
              <w:t>-</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t>-</w:t>
            </w:r>
          </w:p>
        </w:tc>
      </w:tr>
    </w:tbl>
    <w:p>
      <w:pPr>
        <w:pStyle w:val="TableBottomMargin"/>
      </w:pPr>
    </w:p>
    <w:p>
      <w:pPr>
        <w:pStyle w:val="BodyText"/>
        <w:ind w:leftChars="0" w:left="0" w:right="0"/>
      </w:pPr>
      <w:r>
        <w:t xml:space="preserve">Al 31 dicembre 2022 il DSCR a un anno della </w:t>
      </w:r>
      <w:r>
        <w:rPr>
          <w:i/>
          <w:iCs/>
        </w:rPr>
        <w:t>Società</w:t>
      </w:r>
      <w:r>
        <w:t xml:space="preserve"> è maggiore a 1, tuttavia, al fine di escludere un possibile stato di crisi, è consigliabile spostare l’analisi al terzo livello di monitoraggio.</w:t>
      </w:r>
    </w:p>
    <w:bookmarkEnd w:id="672"/>
    <w:bookmarkStart w:id="674" w:name="_997ee1d29c7de361c69d6619a9db54a3"/>
    <w:p>
      <w:pPr>
        <w:pStyle w:val="Heading2"/>
        <w:keepNext/>
      </w:pPr>
      <w:r>
        <w:t>Livello 3: Indici di settore</w:t>
      </w:r>
    </w:p>
    <w:p>
      <w:pPr>
        <w:pStyle w:val="BodyText"/>
        <w:ind w:leftChars="0" w:left="0" w:right="0"/>
      </w:pPr>
      <w:r>
        <w:t>Se il patrimonio netto è positivo e se il DSCR non è disponibile oppure è ritenuto non sufficientemente affidabile, si adottano i seguenti 5 indici. Tali indici assumono significato se contemporaneamente utilizzati, fornendo altrimenti solo viste parziali di eventuali indizi di crisi. Pertanto, è richiesto il contestuale superamento di tutte le 5 soglie di allerta per ipotizzare la presenza di uno stato di crisi.</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ind w:leftChars="0" w:left="0" w:right="0"/>
              <w:keepNext/>
            </w:pPr>
            <w:r>
              <w:t>Terzo livello</w:t>
            </w: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dic-21</w:t>
            </w:r>
          </w:p>
        </w:tc>
        <w:tc>
          <w:tcPr>
            <w:cnfStyle w:evenVBand="true" w:oddVBand="false" w:firstColumn="false"/>
            <w:tcW w:w="11.434303%" w:type="pct"/>
          </w:tcPr>
          <w:p>
            <w:pPr>
              <w:pStyle w:val="table-level-columns"/>
              <w:ind w:leftChars="0" w:left="0" w:right="0"/>
              <w:keepNext/>
            </w:pPr>
            <w:r>
              <w:t>dic-20</w:t>
            </w:r>
          </w:p>
        </w:tc>
        <w:tc>
          <w:tcPr>
            <w:cnfStyle w:evenVBand="false" w:oddVBand="true" w:firstColumn="false"/>
            <w:tcW w:w="11.434303%" w:type="pct"/>
          </w:tcPr>
          <w:p>
            <w:pPr>
              <w:pStyle w:val="table-level-columns"/>
              <w:ind w:leftChars="0" w:left="0" w:right="0"/>
              <w:keepNext/>
            </w:pPr>
            <w:r>
              <w:t>dic-19</w:t>
            </w:r>
          </w:p>
        </w:tc>
        <w:tc>
          <w:tcPr>
            <w:cnfStyle w:evenVBand="true" w:oddVBand="false" w:firstColumn="false"/>
            <w:tcW w:w="11.434303%" w:type="pct"/>
          </w:tcPr>
          <w:p>
            <w:pPr>
              <w:pStyle w:val="table-level-columns"/>
              <w:ind w:leftChars="0" w:left="0" w:right="0"/>
              <w:keepNext/>
            </w:pPr>
            <w:r>
              <w:t>dic-18</w:t>
            </w:r>
          </w:p>
        </w:tc>
        <w:tc>
          <w:tcPr>
            <w:cnfStyle w:evenVBand="false" w:oddVBand="true" w:firstColumn="false"/>
            <w:tcW w:w="11.434303%" w:type="pct"/>
          </w:tcPr>
          <w:p>
            <w:pPr>
              <w:pStyle w:val="table-level-columns"/>
              <w:ind w:leftChars="0" w:left="0" w:right="0"/>
              <w:keepNext/>
            </w:pPr>
            <w:r>
              <w:t>dic-17</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Oneri finanziari / Ricavi</w:t>
            </w:r>
          </w:p>
        </w:tc>
        <w:tc>
          <w:tcPr>
            <w:cnfStyle w:evenVBand="true" w:oddVBand="false" w:firstColumn="false"/>
            <w:tcW w:w="11.434303%" w:type="pct"/>
          </w:tcPr>
          <w:p>
            <w:pPr>
              <w:pStyle w:val="table-level-1"/>
              <w:ind w:leftChars="0" w:left="0" w:right="0"/>
              <w:keepNext/>
            </w:pPr>
            <w:r>
              <w:t>3%</w:t>
            </w:r>
          </w:p>
        </w:tc>
        <w:tc>
          <w:tcPr>
            <w:cnfStyle w:evenVBand="false" w:oddVBand="true" w:firstColumn="false"/>
            <w:tcW w:w="11.434303%" w:type="pct"/>
          </w:tcPr>
          <w:p>
            <w:pPr>
              <w:pStyle w:val="table-level-1"/>
              <w:ind w:leftChars="0" w:left="0" w:right="0"/>
              <w:keepNext/>
            </w:pPr>
            <w:r>
              <w:t>4%</w:t>
            </w:r>
          </w:p>
        </w:tc>
        <w:tc>
          <w:tcPr>
            <w:cnfStyle w:evenVBand="true" w:oddVBand="false" w:firstColumn="false"/>
            <w:tcW w:w="11.434303%" w:type="pct"/>
          </w:tcPr>
          <w:p>
            <w:pPr>
              <w:pStyle w:val="table-level-1"/>
              <w:ind w:leftChars="0" w:left="0" w:right="0"/>
              <w:keepNext/>
            </w:pPr>
            <w:r>
              <w:t>4%</w:t>
            </w:r>
          </w:p>
        </w:tc>
        <w:tc>
          <w:tcPr>
            <w:cnfStyle w:evenVBand="false" w:oddVBand="true" w:firstColumn="false"/>
            <w:tcW w:w="11.434303%" w:type="pct"/>
          </w:tcPr>
          <w:p>
            <w:pPr>
              <w:pStyle w:val="table-level-1"/>
              <w:ind w:leftChars="0" w:left="0" w:right="0"/>
              <w:keepNext/>
            </w:pPr>
            <w:r>
              <w:t>4%</w:t>
            </w:r>
          </w:p>
        </w:tc>
        <w:tc>
          <w:tcPr>
            <w:cnfStyle w:evenVBand="true" w:oddVBand="false" w:firstColumn="false"/>
            <w:tcW w:w="11.434303%" w:type="pct"/>
          </w:tcPr>
          <w:p>
            <w:pPr>
              <w:pStyle w:val="table-level-1"/>
              <w:ind w:leftChars="0" w:left="0" w:right="0"/>
              <w:keepNext/>
            </w:pPr>
            <w:r>
              <w:t>5%</w:t>
            </w:r>
          </w:p>
        </w:tc>
        <w:tc>
          <w:tcPr>
            <w:cnfStyle w:evenVBand="false" w:oddVBand="true" w:firstColumn="false"/>
            <w:tcW w:w="11.434303%" w:type="pct"/>
          </w:tcPr>
          <w:p>
            <w:pPr>
              <w:pStyle w:val="table-level-1"/>
              <w:ind w:leftChars="0" w:left="0" w:right="0"/>
              <w:keepNext/>
            </w:pPr>
            <w:r>
              <w:t>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A50026"/>
              </w:rPr>
              <w:t>Allerta</w:t>
            </w:r>
          </w:p>
        </w:tc>
        <w:tc>
          <w:tcPr>
            <w:cnfStyle w:evenVBand="false" w:oddVBand="true" w:firstColumn="false"/>
            <w:tcW w:w="11.434303%" w:type="pct"/>
          </w:tcPr>
          <w:p>
            <w:pPr>
              <w:pStyle w:val="table-level-0"/>
              <w:ind w:leftChars="0" w:left="0" w:right="0"/>
              <w:keepNext/>
            </w:pPr>
            <w:r>
              <w:rPr>
                <w:b/>
                <w:color w:val="A50026"/>
              </w:rPr>
              <w:t>Allerta</w:t>
            </w:r>
          </w:p>
        </w:tc>
        <w:tc>
          <w:tcPr>
            <w:cnfStyle w:evenVBand="true" w:oddVBand="false" w:firstColumn="false"/>
            <w:tcW w:w="11.434303%" w:type="pct"/>
          </w:tcPr>
          <w:p>
            <w:pPr>
              <w:pStyle w:val="table-level-0"/>
              <w:ind w:leftChars="0" w:left="0" w:right="0"/>
              <w:keepNext/>
            </w:pPr>
            <w:r>
              <w:rPr>
                <w:b/>
                <w:color w:val="A50026"/>
              </w:rPr>
              <w:t>Allerta</w:t>
            </w:r>
          </w:p>
        </w:tc>
        <w:tc>
          <w:tcPr>
            <w:cnfStyle w:evenVBand="false" w:oddVBand="true" w:firstColumn="false"/>
            <w:tcW w:w="11.434303%" w:type="pct"/>
          </w:tcPr>
          <w:p>
            <w:pPr>
              <w:pStyle w:val="table-level-0"/>
              <w:ind w:leftChars="0" w:left="0" w:right="0"/>
              <w:keepNext/>
            </w:pPr>
            <w:r>
              <w:rPr>
                <w:b/>
                <w:color w:val="A50026"/>
              </w:rPr>
              <w:t>Allerta</w:t>
            </w:r>
          </w:p>
        </w:tc>
        <w:tc>
          <w:tcPr>
            <w:cnfStyle w:evenVBand="true" w:oddVBand="false" w:firstColumn="false"/>
            <w:tcW w:w="11.434303%" w:type="pct"/>
          </w:tcPr>
          <w:p>
            <w:pPr>
              <w:pStyle w:val="table-level-0"/>
              <w:ind w:leftChars="0" w:left="0" w:right="0"/>
              <w:keepNext/>
            </w:pPr>
            <w:r>
              <w:rPr>
                <w:b/>
                <w:color w:val="A50026"/>
              </w:rPr>
              <w:t>Allerta</w:t>
            </w:r>
          </w:p>
        </w:tc>
        <w:tc>
          <w:tcPr>
            <w:cnfStyle w:evenVBand="false" w:oddVBand="true" w:firstColumn="false"/>
            <w:tcW w:w="11.434303%" w:type="pct"/>
          </w:tcPr>
          <w:p>
            <w:pPr>
              <w:pStyle w:val="table-level-0"/>
              <w:ind w:leftChars="0" w:left="0" w:right="0"/>
              <w:keepNext/>
            </w:pPr>
            <w:r>
              <w:rPr>
                <w:b/>
                <w:color w:val="A50026"/>
              </w:rPr>
              <w:t>Allerta</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Patrimonio netto / Debiti totali</w:t>
            </w:r>
          </w:p>
        </w:tc>
        <w:tc>
          <w:tcPr>
            <w:cnfStyle w:evenVBand="true" w:oddVBand="false" w:firstColumn="false"/>
            <w:tcW w:w="11.434303%" w:type="pct"/>
          </w:tcPr>
          <w:p>
            <w:pPr>
              <w:pStyle w:val="table-level-1"/>
              <w:ind w:leftChars="0" w:left="0" w:right="0"/>
              <w:keepNext/>
            </w:pPr>
            <w:r>
              <w:t>64%</w:t>
            </w:r>
          </w:p>
        </w:tc>
        <w:tc>
          <w:tcPr>
            <w:cnfStyle w:evenVBand="false" w:oddVBand="true" w:firstColumn="false"/>
            <w:tcW w:w="11.434303%" w:type="pct"/>
          </w:tcPr>
          <w:p>
            <w:pPr>
              <w:pStyle w:val="table-level-1"/>
              <w:ind w:leftChars="0" w:left="0" w:right="0"/>
              <w:keepNext/>
            </w:pPr>
            <w:r>
              <w:t>78%</w:t>
            </w:r>
          </w:p>
        </w:tc>
        <w:tc>
          <w:tcPr>
            <w:cnfStyle w:evenVBand="true" w:oddVBand="false" w:firstColumn="false"/>
            <w:tcW w:w="11.434303%" w:type="pct"/>
          </w:tcPr>
          <w:p>
            <w:pPr>
              <w:pStyle w:val="table-level-1"/>
              <w:ind w:leftChars="0" w:left="0" w:right="0"/>
              <w:keepNext/>
            </w:pPr>
            <w:r>
              <w:t>57%</w:t>
            </w:r>
          </w:p>
        </w:tc>
        <w:tc>
          <w:tcPr>
            <w:cnfStyle w:evenVBand="false" w:oddVBand="true" w:firstColumn="false"/>
            <w:tcW w:w="11.434303%" w:type="pct"/>
          </w:tcPr>
          <w:p>
            <w:pPr>
              <w:pStyle w:val="table-level-1"/>
              <w:ind w:leftChars="0" w:left="0" w:right="0"/>
              <w:keepNext/>
            </w:pPr>
            <w:r>
              <w:t>45%</w:t>
            </w:r>
          </w:p>
        </w:tc>
        <w:tc>
          <w:tcPr>
            <w:cnfStyle w:evenVBand="true" w:oddVBand="false" w:firstColumn="false"/>
            <w:tcW w:w="11.434303%" w:type="pct"/>
          </w:tcPr>
          <w:p>
            <w:pPr>
              <w:pStyle w:val="table-level-1"/>
              <w:ind w:leftChars="0" w:left="0" w:right="0"/>
              <w:keepNext/>
            </w:pPr>
            <w:r>
              <w:t>34%</w:t>
            </w:r>
          </w:p>
        </w:tc>
        <w:tc>
          <w:tcPr>
            <w:cnfStyle w:evenVBand="false" w:oddVBand="true" w:firstColumn="false"/>
            <w:tcW w:w="11.434303%" w:type="pct"/>
          </w:tcPr>
          <w:p>
            <w:pPr>
              <w:pStyle w:val="table-level-1"/>
              <w:ind w:leftChars="0" w:left="0" w:right="0"/>
              <w:keepNext/>
            </w:pPr>
            <w:r>
              <w:t>41%</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Attività a breve / Pass. a breve</w:t>
            </w:r>
          </w:p>
        </w:tc>
        <w:tc>
          <w:tcPr>
            <w:cnfStyle w:evenVBand="true" w:oddVBand="false" w:firstColumn="false"/>
            <w:tcW w:w="11.434303%" w:type="pct"/>
          </w:tcPr>
          <w:p>
            <w:pPr>
              <w:pStyle w:val="table-level-1"/>
              <w:ind w:leftChars="0" w:left="0" w:right="0"/>
              <w:keepNext/>
            </w:pPr>
            <w:r>
              <w:t>140%</w:t>
            </w:r>
          </w:p>
        </w:tc>
        <w:tc>
          <w:tcPr>
            <w:cnfStyle w:evenVBand="false" w:oddVBand="true" w:firstColumn="false"/>
            <w:tcW w:w="11.434303%" w:type="pct"/>
          </w:tcPr>
          <w:p>
            <w:pPr>
              <w:pStyle w:val="table-level-1"/>
              <w:ind w:leftChars="0" w:left="0" w:right="0"/>
              <w:keepNext/>
            </w:pPr>
            <w:r>
              <w:t>92%</w:t>
            </w:r>
          </w:p>
        </w:tc>
        <w:tc>
          <w:tcPr>
            <w:cnfStyle w:evenVBand="true" w:oddVBand="false" w:firstColumn="false"/>
            <w:tcW w:w="11.434303%" w:type="pct"/>
          </w:tcPr>
          <w:p>
            <w:pPr>
              <w:pStyle w:val="table-level-1"/>
              <w:ind w:leftChars="0" w:left="0" w:right="0"/>
              <w:keepNext/>
            </w:pPr>
            <w:r>
              <w:t>111%</w:t>
            </w:r>
          </w:p>
        </w:tc>
        <w:tc>
          <w:tcPr>
            <w:cnfStyle w:evenVBand="false" w:oddVBand="true" w:firstColumn="false"/>
            <w:tcW w:w="11.434303%" w:type="pct"/>
          </w:tcPr>
          <w:p>
            <w:pPr>
              <w:pStyle w:val="table-level-1"/>
              <w:ind w:leftChars="0" w:left="0" w:right="0"/>
              <w:keepNext/>
            </w:pPr>
            <w:r>
              <w:t>101%</w:t>
            </w:r>
          </w:p>
        </w:tc>
        <w:tc>
          <w:tcPr>
            <w:cnfStyle w:evenVBand="true" w:oddVBand="false" w:firstColumn="false"/>
            <w:tcW w:w="11.434303%" w:type="pct"/>
          </w:tcPr>
          <w:p>
            <w:pPr>
              <w:pStyle w:val="table-level-1"/>
              <w:ind w:leftChars="0" w:left="0" w:right="0"/>
              <w:keepNext/>
            </w:pPr>
            <w:r>
              <w:t>111%</w:t>
            </w:r>
          </w:p>
        </w:tc>
        <w:tc>
          <w:tcPr>
            <w:cnfStyle w:evenVBand="false" w:oddVBand="true" w:firstColumn="false"/>
            <w:tcW w:w="11.434303%" w:type="pct"/>
          </w:tcPr>
          <w:p>
            <w:pPr>
              <w:pStyle w:val="table-level-1"/>
              <w:ind w:leftChars="0" w:left="0" w:right="0"/>
              <w:keepNext/>
            </w:pPr>
            <w:r>
              <w:t>147%</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A50026"/>
              </w:rPr>
              <w:t>Allerta</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Cash flow / Attivo</w:t>
            </w:r>
          </w:p>
        </w:tc>
        <w:tc>
          <w:tcPr>
            <w:cnfStyle w:evenVBand="true" w:oddVBand="false" w:firstColumn="false"/>
            <w:tcW w:w="11.434303%" w:type="pct"/>
          </w:tcPr>
          <w:p>
            <w:pPr>
              <w:pStyle w:val="table-level-1"/>
              <w:ind w:leftChars="0" w:left="0" w:right="0"/>
              <w:keepNext/>
            </w:pPr>
            <w:r>
              <w:t>11%</w:t>
            </w:r>
          </w:p>
        </w:tc>
        <w:tc>
          <w:tcPr>
            <w:cnfStyle w:evenVBand="false" w:oddVBand="true" w:firstColumn="false"/>
            <w:tcW w:w="11.434303%" w:type="pct"/>
          </w:tcPr>
          <w:p>
            <w:pPr>
              <w:pStyle w:val="table-level-1"/>
              <w:ind w:leftChars="0" w:left="0" w:right="0"/>
              <w:keepNext/>
            </w:pPr>
            <w:r>
              <w:t>15%</w:t>
            </w:r>
          </w:p>
        </w:tc>
        <w:tc>
          <w:tcPr>
            <w:cnfStyle w:evenVBand="true" w:oddVBand="false" w:firstColumn="false"/>
            <w:tcW w:w="11.434303%" w:type="pct"/>
          </w:tcPr>
          <w:p>
            <w:pPr>
              <w:pStyle w:val="table-level-1"/>
              <w:ind w:leftChars="0" w:left="0" w:right="0"/>
              <w:keepNext/>
            </w:pPr>
            <w:r>
              <w:t>19%</w:t>
            </w:r>
          </w:p>
        </w:tc>
        <w:tc>
          <w:tcPr>
            <w:cnfStyle w:evenVBand="false" w:oddVBand="true" w:firstColumn="false"/>
            <w:tcW w:w="11.434303%" w:type="pct"/>
          </w:tcPr>
          <w:p>
            <w:pPr>
              <w:pStyle w:val="table-level-1"/>
              <w:ind w:leftChars="0" w:left="0" w:right="0"/>
              <w:keepNext/>
            </w:pPr>
            <w:r>
              <w:t>17%</w:t>
            </w:r>
          </w:p>
        </w:tc>
        <w:tc>
          <w:tcPr>
            <w:cnfStyle w:evenVBand="true" w:oddVBand="false" w:firstColumn="false"/>
            <w:tcW w:w="11.434303%" w:type="pct"/>
          </w:tcPr>
          <w:p>
            <w:pPr>
              <w:pStyle w:val="table-level-1"/>
              <w:ind w:leftChars="0" w:left="0" w:right="0"/>
              <w:keepNext/>
            </w:pPr>
            <w:r>
              <w:t>11%</w:t>
            </w:r>
          </w:p>
        </w:tc>
        <w:tc>
          <w:tcPr>
            <w:cnfStyle w:evenVBand="false" w:oddVBand="true" w:firstColumn="false"/>
            <w:tcW w:w="11.434303%" w:type="pct"/>
          </w:tcPr>
          <w:p>
            <w:pPr>
              <w:pStyle w:val="table-level-1"/>
              <w:ind w:leftChars="0" w:left="0" w:right="0"/>
              <w:keepNext/>
            </w:pPr>
            <w:r>
              <w:t>13%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(Debiti Prev. + Erario) / Attivo</w:t>
            </w:r>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Stato</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c>
          <w:tcPr>
            <w:cnfStyle w:evenVBand="true" w:oddVBand="false" w:firstColumn="false"/>
            <w:tcW w:w="11.434303%" w:type="pct"/>
          </w:tcPr>
          <w:p>
            <w:pPr>
              <w:pStyle w:val="table-level-0"/>
              <w:ind w:leftChars="0" w:left="0" w:right="0"/>
              <w:keepNext/>
            </w:pPr>
            <w:r>
              <w:rPr>
                <w:b/>
                <w:color w:val="006837"/>
                <w:u w:val="none"/>
              </w:rPr>
              <w:t>Regolare</w:t>
            </w:r>
          </w:p>
        </w:tc>
        <w:tc>
          <w:tcPr>
            <w:cnfStyle w:evenVBand="false" w:oddVBand="true" w:firstColumn="false"/>
            <w:tcW w:w="11.434303%" w:type="pct"/>
          </w:tcPr>
          <w:p>
            <w:pPr>
              <w:pStyle w:val="table-level-0"/>
              <w:ind w:leftChars="0" w:left="0" w:right="0"/>
              <w:keepNext/>
            </w:pPr>
            <w:r>
              <w:rPr>
                <w:b/>
                <w:color w:val="006837"/>
                <w:u w:val="none"/>
              </w:rPr>
              <w:t>Regolare</w:t>
            </w:r>
          </w:p>
        </w:tc>
      </w:tr>
    </w:tbl>
    <w:p>
      <w:pPr>
        <w:pStyle w:val="TableBottomMargin"/>
      </w:pPr>
    </w:p>
    <w:p>
      <w:pPr>
        <w:pStyle w:val="BodyText"/>
        <w:ind w:leftChars="0" w:left="0" w:right="0"/>
      </w:pPr>
      <w:r>
        <w:t xml:space="preserve">Al 31 dicembre 2022 gli indici di settore non superano, in aggregato, tutte le 5 soglie di allerta. Si può, pertanto, escludere lo stato di crisi della </w:t>
      </w:r>
      <w:r>
        <w:rPr>
          <w:i/>
          <w:iCs/>
        </w:rPr>
        <w:t>Società</w:t>
      </w:r>
      <w:r>
        <w:t>.</w:t>
      </w:r>
    </w:p>
    <w:br w:type="page"/>
    <w:br w:type="page"/>
    <w:bookmarkEnd w:id="674"/>
    <w:bookmarkEnd w:id="667"/>
    <w:bookmarkEnd w:id="668"/>
    <w:bookmarkEnd w:id="669"/>
    <w:bookmarkStart w:id="675" w:name="_cd37ee0b7c8812bb05d4c676d6de0a8a"/>
    <w:bookmarkStart w:id="676" w:name="_db311f0516cb939f004f9efd7e2a48e2"/>
    <w:bookmarkStart w:id="677" w:name="_92d16289a0723814f8369b16864b1e0d"/>
    <w:p>
      <w:pPr>
        <w:pStyle w:val="Heading1"/>
        <w:keepNext/>
        <w:pageBreakBefore w:val="1"/>
      </w:pPr>
      <w:r>
        <w:t>Merito creditizio</w:t>
      </w:r>
    </w:p>
    <w:p>
      <w:pPr>
        <w:pStyle w:val="BodyText"/>
        <w:ind w:leftChars="0" w:left="0" w:right="0"/>
      </w:pPr>
      <w:r>
        <w:t xml:space="preserve">La presente sezione contiene la valutazione del merito creditizio della </w:t>
      </w:r>
      <w:r>
        <w:rPr>
          <w:i/>
          <w:iCs/>
        </w:rPr>
        <w:t>Società</w:t>
      </w:r>
      <w:r>
        <w:t>, basata sul modello di calcolo della probabilità di inadempimento, utile ai fini dell’accesso al Fondo di Garanzia per le PMI. La valutazione del merito creditizio aiuta a mitigare il rischio di credito per le istituzioni finanziarie e assicura che le risorse siano allocate in modo responsabile verso le imprese che soddisfano determinati criteri di affidabilità finanziaria. Il calcolo della probabilità di inadempimento si basa sul modulo economico-finanziario e sul modulo andamentale.</w:t>
      </w:r>
    </w:p>
    <w:p>
      <w:pPr>
        <w:pStyle w:val="BodyText"/>
        <w:ind w:leftChars="0" w:left="0" w:right="0"/>
      </w:pPr>
      <w:r>
        <w:t xml:space="preserve">La prossima sezione introduce l’analisi del modulo economico-finanziario e il suo relativo andamento storico. Seguirà la medesima analisi del modulo andamentale. In conclusione, verrà presentata la valutazione del merito creditizio con l’indicazione delle rispettive garanzie dirette concedibili alla </w:t>
      </w:r>
      <w:r>
        <w:rPr>
          <w:i/>
          <w:iCs/>
        </w:rPr>
        <w:t>Società</w:t>
      </w:r>
      <w:r>
        <w:t xml:space="preserve"> dal Fondo di Garanzia.</w:t>
      </w:r>
    </w:p>
    <w:br w:type="page"/>
    <w:bookmarkStart w:id="678" w:name="_a76dd15472eebb9db640ca08ce72fcd4"/>
    <w:p>
      <w:pPr>
        <w:pStyle w:val="Heading2"/>
        <w:keepNext/>
      </w:pPr>
      <w:r>
        <w:t>Modulo economico-finanziario</w:t>
      </w:r>
    </w:p>
    <w:p>
      <w:pPr>
        <w:pStyle w:val="BodyText"/>
        <w:ind w:leftChars="0" w:left="0" w:right="0"/>
      </w:pPr>
      <w:r>
        <w:t xml:space="preserve">Il modulo economico-finanziario fornisce una misura predittiva del profilo di rischio patrimoniale, economico e finanziario della </w:t>
      </w:r>
      <w:r>
        <w:rPr>
          <w:i/>
          <w:iCs/>
        </w:rPr>
        <w:t>Società</w:t>
      </w:r>
      <w:r>
        <w:t xml:space="preserve">. La seguente tabella offre un riscontro sulla valutazione della </w:t>
      </w:r>
      <w:r>
        <w:rPr>
          <w:i/>
          <w:iCs/>
        </w:rPr>
        <w:t>Società</w:t>
      </w:r>
      <w:r>
        <w:t xml:space="preserve"> dal 31 dicembre 2017 al 31 dicembre 2022 sulla base dei seguenti indici economico-finanziari, mostrando i loro relativi giudizi:</w:t>
      </w:r>
    </w:p>
    <w:tbl>
      <w:tblPr>
        <w:tblStyle w:val="table-custom"/>
        <w:tblW w:w="100.000000%" w:type="pct"/>
        <w:tblInd w:w="0" w:type="dxa"/>
        <w:tblLook w:noHBand="false" w:noVBand="false" w:lastRow="false" w:lastColumn="false" w:firstRow="true" w:firstColumn="false"/>
      </w:tblPr>
      <w:tblGrid>
        <w:gridCol w:w="3198"/>
        <w:gridCol w:w="1400"/>
        <w:gridCol w:w="1400"/>
        <w:gridCol w:w="1400"/>
        <w:gridCol w:w="1400"/>
        <w:gridCol w:w="1400"/>
      </w:tblGrid>
      <w:tr>
        <w:trPr>
          <w:cnfStyle w:evenHBand="false" w:oddHBand="true" w:firstRow="true"/>
          <w:cantSplit/>
          <w:tblHeader/>
        </w:trPr>
        <w:tc>
          <w:tcPr>
            <w:cnfStyle w:evenVBand="false" w:oddVBand="true" w:firstColumn="false"/>
            <w:tcW w:w="31.362725%" w:type="pct"/>
          </w:tcPr>
          <w:p>
            <w:pPr>
              <w:keepNext/>
            </w:pPr>
          </w:p>
        </w:tc>
        <w:tc>
          <w:tcPr>
            <w:cnfStyle w:evenVBand="true" w:oddVBand="false" w:firstColumn="false"/>
            <w:tcW w:w="13.727455%" w:type="pct"/>
          </w:tcPr>
          <w:p>
            <w:pPr>
              <w:pStyle w:val="table-level-columns"/>
              <w:ind w:leftChars="0" w:left="0" w:right="0"/>
              <w:keepNext/>
            </w:pPr>
            <w:r>
              <w:t>dic-22</w:t>
            </w:r>
          </w:p>
        </w:tc>
        <w:tc>
          <w:tcPr>
            <w:cnfStyle w:evenVBand="false" w:oddVBand="true" w:firstColumn="false"/>
            <w:tcW w:w="13.727455%" w:type="pct"/>
          </w:tcPr>
          <w:p>
            <w:pPr>
              <w:pStyle w:val="table-level-columns"/>
              <w:ind w:leftChars="0" w:left="0" w:right="0"/>
              <w:keepNext/>
            </w:pPr>
            <w:r>
              <w:t>dic-21</w:t>
            </w:r>
          </w:p>
        </w:tc>
        <w:tc>
          <w:tcPr>
            <w:cnfStyle w:evenVBand="true" w:oddVBand="false" w:firstColumn="false"/>
            <w:tcW w:w="13.727455%" w:type="pct"/>
          </w:tcPr>
          <w:p>
            <w:pPr>
              <w:pStyle w:val="table-level-columns"/>
              <w:ind w:leftChars="0" w:left="0" w:right="0"/>
              <w:keepNext/>
            </w:pPr>
            <w:r>
              <w:t>dic-20</w:t>
            </w:r>
          </w:p>
        </w:tc>
        <w:tc>
          <w:tcPr>
            <w:cnfStyle w:evenVBand="false" w:oddVBand="true" w:firstColumn="false"/>
            <w:tcW w:w="13.727455%" w:type="pct"/>
          </w:tcPr>
          <w:p>
            <w:pPr>
              <w:pStyle w:val="table-level-columns"/>
              <w:ind w:leftChars="0" w:left="0" w:right="0"/>
              <w:keepNext/>
            </w:pPr>
            <w:r>
              <w:t>dic-19</w:t>
            </w:r>
          </w:p>
        </w:tc>
        <w:tc>
          <w:tcPr>
            <w:cnfStyle w:evenVBand="true" w:oddVBand="false" w:firstColumn="false"/>
            <w:tcW w:w="13.727455%"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62725%" w:type="pct"/>
          </w:tcPr>
          <w:p>
            <w:pPr>
              <w:pStyle w:val="index-table-level-2"/>
              <w:ind w:leftChars="0" w:left="0" w:right="0"/>
              <w:keepNext/>
            </w:pPr>
            <w:r>
              <w:t>Valutazione</w:t>
            </w:r>
          </w:p>
        </w:tc>
        <w:tc>
          <w:tcPr>
            <w:cnfStyle w:evenVBand="true" w:oddVBand="false" w:firstColumn="false"/>
            <w:tcW w:w="13.727455%" w:type="pct"/>
          </w:tcPr>
          <w:p>
            <w:pPr>
              <w:pStyle w:val="table-level-2"/>
              <w:ind w:leftChars="0" w:left="0" w:right="0"/>
              <w:keepNext/>
            </w:pPr>
            <w:r>
              <w:t>F2</w:t>
            </w:r>
          </w:p>
        </w:tc>
        <w:tc>
          <w:tcPr>
            <w:cnfStyle w:evenVBand="false" w:oddVBand="true" w:firstColumn="false"/>
            <w:tcW w:w="13.727455%" w:type="pct"/>
          </w:tcPr>
          <w:p>
            <w:pPr>
              <w:pStyle w:val="table-level-2"/>
              <w:ind w:leftChars="0" w:left="0" w:right="0"/>
              <w:keepNext/>
            </w:pPr>
            <w:r>
              <w:t>F5</w:t>
            </w:r>
          </w:p>
        </w:tc>
        <w:tc>
          <w:tcPr>
            <w:cnfStyle w:evenVBand="true" w:oddVBand="false" w:firstColumn="false"/>
            <w:tcW w:w="13.727455%" w:type="pct"/>
          </w:tcPr>
          <w:p>
            <w:pPr>
              <w:pStyle w:val="table-level-2"/>
              <w:ind w:leftChars="0" w:left="0" w:right="0"/>
              <w:keepNext/>
            </w:pPr>
            <w:r>
              <w:t>F4</w:t>
            </w:r>
          </w:p>
        </w:tc>
        <w:tc>
          <w:tcPr>
            <w:cnfStyle w:evenVBand="false" w:oddVBand="true" w:firstColumn="false"/>
            <w:tcW w:w="13.727455%" w:type="pct"/>
          </w:tcPr>
          <w:p>
            <w:pPr>
              <w:pStyle w:val="table-level-2"/>
              <w:ind w:leftChars="0" w:left="0" w:right="0"/>
              <w:keepNext/>
            </w:pPr>
            <w:r>
              <w:t>F5</w:t>
            </w:r>
          </w:p>
        </w:tc>
        <w:tc>
          <w:tcPr>
            <w:cnfStyle w:evenVBand="true" w:oddVBand="false" w:firstColumn="false"/>
            <w:tcW w:w="13.727455%" w:type="pct"/>
          </w:tcPr>
          <w:p>
            <w:pPr>
              <w:pStyle w:val="table-level-2"/>
              <w:ind w:leftChars="0" w:left="0" w:right="0"/>
              <w:keepNext/>
            </w:pPr>
            <w:r>
              <w:t>F4</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Debiti a breve/Fatturato</w:t>
            </w:r>
          </w:p>
        </w:tc>
        <w:tc>
          <w:tcPr>
            <w:cnfStyle w:evenVBand="true" w:oddVBand="false" w:firstColumn="false"/>
            <w:tcW w:w="13.727455%" w:type="pct"/>
          </w:tcPr>
          <w:p>
            <w:pPr>
              <w:pStyle w:val="table-level-1"/>
              <w:ind w:leftChars="0" w:left="0" w:right="0"/>
              <w:keepNext/>
            </w:pPr>
            <w:r>
              <w:t>0,29</w:t>
            </w:r>
          </w:p>
        </w:tc>
        <w:tc>
          <w:tcPr>
            <w:cnfStyle w:evenVBand="false" w:oddVBand="true" w:firstColumn="false"/>
            <w:tcW w:w="13.727455%" w:type="pct"/>
          </w:tcPr>
          <w:p>
            <w:pPr>
              <w:pStyle w:val="table-level-1"/>
              <w:ind w:leftChars="0" w:left="0" w:right="0"/>
              <w:keepNext/>
            </w:pPr>
            <w:r>
              <w:t>0,26</w:t>
            </w:r>
          </w:p>
        </w:tc>
        <w:tc>
          <w:tcPr>
            <w:cnfStyle w:evenVBand="true" w:oddVBand="false" w:firstColumn="false"/>
            <w:tcW w:w="13.727455%" w:type="pct"/>
          </w:tcPr>
          <w:p>
            <w:pPr>
              <w:pStyle w:val="table-level-1"/>
              <w:ind w:leftChars="0" w:left="0" w:right="0"/>
              <w:keepNext/>
            </w:pPr>
            <w:r>
              <w:t>0,26</w:t>
            </w:r>
          </w:p>
        </w:tc>
        <w:tc>
          <w:tcPr>
            <w:cnfStyle w:evenVBand="false" w:oddVBand="true" w:firstColumn="false"/>
            <w:tcW w:w="13.727455%" w:type="pct"/>
          </w:tcPr>
          <w:p>
            <w:pPr>
              <w:pStyle w:val="table-level-1"/>
              <w:ind w:leftChars="0" w:left="0" w:right="0"/>
              <w:keepNext/>
            </w:pPr>
            <w:r>
              <w:t>0,3</w:t>
            </w:r>
          </w:p>
        </w:tc>
        <w:tc>
          <w:tcPr>
            <w:cnfStyle w:evenVBand="true" w:oddVBand="false" w:firstColumn="false"/>
            <w:tcW w:w="13.727455%" w:type="pct"/>
          </w:tcPr>
          <w:p>
            <w:pPr>
              <w:pStyle w:val="table-level-1"/>
              <w:ind w:leftChars="0" w:left="0" w:right="0"/>
              <w:keepNext/>
            </w:pPr>
            <w:r>
              <w:t>0,39</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006837"/>
                <w:u w:val="none"/>
              </w:rPr>
              <w:t>Alto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006837"/>
                <w:u w:val="none"/>
              </w:rPr>
              <w:t>Alto</w:t>
            </w:r>
          </w:p>
        </w:tc>
        <w:tc>
          <w:tcPr>
            <w:cnfStyle w:evenVBand="true" w:oddVBand="false" w:firstColumn="false"/>
            <w:tcW w:w="13.727455%" w:type="pct"/>
          </w:tcPr>
          <w:p>
            <w:pPr>
              <w:pStyle w:val="table-level-0"/>
              <w:ind w:leftChars="0" w:left="0" w:right="0"/>
              <w:keepNext/>
            </w:pPr>
            <w:r>
              <w:rPr>
                <w:b/>
                <w:color w:val="006837"/>
                <w:u w:val="none"/>
              </w:rPr>
              <w:t>Alto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Oneri Finanziari/MOL</w:t>
            </w:r>
          </w:p>
        </w:tc>
        <w:tc>
          <w:tcPr>
            <w:cnfStyle w:evenVBand="true" w:oddVBand="false" w:firstColumn="false"/>
            <w:tcW w:w="13.727455%" w:type="pct"/>
          </w:tcPr>
          <w:p>
            <w:pPr>
              <w:pStyle w:val="table-level-1"/>
              <w:ind w:leftChars="0" w:left="0" w:right="0"/>
              <w:keepNext/>
            </w:pPr>
            <w:r>
              <w:t>0,15</w:t>
            </w:r>
          </w:p>
        </w:tc>
        <w:tc>
          <w:tcPr>
            <w:cnfStyle w:evenVBand="false" w:oddVBand="true" w:firstColumn="false"/>
            <w:tcW w:w="13.727455%" w:type="pct"/>
          </w:tcPr>
          <w:p>
            <w:pPr>
              <w:pStyle w:val="table-level-1"/>
              <w:ind w:leftChars="0" w:left="0" w:right="0"/>
              <w:keepNext/>
            </w:pPr>
            <w:r>
              <w:t>0,13</w:t>
            </w:r>
          </w:p>
        </w:tc>
        <w:tc>
          <w:tcPr>
            <w:cnfStyle w:evenVBand="true" w:oddVBand="false" w:firstColumn="false"/>
            <w:tcW w:w="13.727455%" w:type="pct"/>
          </w:tcPr>
          <w:p>
            <w:pPr>
              <w:pStyle w:val="table-level-1"/>
              <w:ind w:leftChars="0" w:left="0" w:right="0"/>
              <w:keepNext/>
            </w:pPr>
            <w:r>
              <w:t>0,12</w:t>
            </w:r>
          </w:p>
        </w:tc>
        <w:tc>
          <w:tcPr>
            <w:cnfStyle w:evenVBand="false" w:oddVBand="true" w:firstColumn="false"/>
            <w:tcW w:w="13.727455%" w:type="pct"/>
          </w:tcPr>
          <w:p>
            <w:pPr>
              <w:pStyle w:val="table-level-1"/>
              <w:ind w:leftChars="0" w:left="0" w:right="0"/>
              <w:keepNext/>
            </w:pPr>
            <w:r>
              <w:t>0,14</w:t>
            </w:r>
          </w:p>
        </w:tc>
        <w:tc>
          <w:tcPr>
            <w:cnfStyle w:evenVBand="true" w:oddVBand="false" w:firstColumn="false"/>
            <w:tcW w:w="13.727455%" w:type="pct"/>
          </w:tcPr>
          <w:p>
            <w:pPr>
              <w:pStyle w:val="table-level-1"/>
              <w:ind w:leftChars="0" w:left="0" w:right="0"/>
              <w:keepNext/>
            </w:pPr>
            <w:r>
              <w:t>0,22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FFCC3D"/>
              </w:rPr>
              <w:t>Medio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A6D96A"/>
                <w:u w:val="none"/>
              </w:rPr>
              <w:t>Medio Alto</w:t>
            </w:r>
          </w:p>
        </w:tc>
        <w:tc>
          <w:tcPr>
            <w:cnfStyle w:evenVBand="false" w:oddVBand="true" w:firstColumn="false"/>
            <w:tcW w:w="13.727455%" w:type="pct"/>
          </w:tcPr>
          <w:p>
            <w:pPr>
              <w:pStyle w:val="table-level-0"/>
              <w:ind w:leftChars="0" w:left="0" w:right="0"/>
              <w:keepNext/>
            </w:pPr>
            <w:r>
              <w:rPr>
                <w:b/>
                <w:color w:val="FFCC3D"/>
              </w:rPr>
              <w:t>Medio</w:t>
            </w:r>
          </w:p>
        </w:tc>
        <w:tc>
          <w:tcPr>
            <w:cnfStyle w:evenVBand="true" w:oddVBand="false" w:firstColumn="false"/>
            <w:tcW w:w="13.727455%" w:type="pct"/>
          </w:tcPr>
          <w:p>
            <w:pPr>
              <w:pStyle w:val="table-level-0"/>
              <w:ind w:leftChars="0" w:left="0" w:right="0"/>
              <w:keepNext/>
            </w:pPr>
            <w:r>
              <w:rPr>
                <w:b/>
                <w:color w:val="FFCC3D"/>
              </w:rPr>
              <w:t>Medio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Oneri finanziari/Debiti</w:t>
            </w:r>
          </w:p>
        </w:tc>
        <w:tc>
          <w:tcPr>
            <w:cnfStyle w:evenVBand="true" w:oddVBand="false" w:firstColumn="false"/>
            <w:tcW w:w="13.727455%" w:type="pct"/>
          </w:tcPr>
          <w:p>
            <w:pPr>
              <w:pStyle w:val="table-level-1"/>
              <w:ind w:leftChars="0" w:left="0" w:right="0"/>
              <w:keepNext/>
            </w:pPr>
            <w:r>
              <w:t>0,041</w:t>
            </w:r>
          </w:p>
        </w:tc>
        <w:tc>
          <w:tcPr>
            <w:cnfStyle w:evenVBand="false" w:oddVBand="true" w:firstColumn="false"/>
            <w:tcW w:w="13.727455%" w:type="pct"/>
          </w:tcPr>
          <w:p>
            <w:pPr>
              <w:pStyle w:val="table-level-1"/>
              <w:ind w:leftChars="0" w:left="0" w:right="0"/>
              <w:keepNext/>
            </w:pPr>
            <w:r>
              <w:t>0,053</w:t>
            </w:r>
          </w:p>
        </w:tc>
        <w:tc>
          <w:tcPr>
            <w:cnfStyle w:evenVBand="true" w:oddVBand="false" w:firstColumn="false"/>
            <w:tcW w:w="13.727455%" w:type="pct"/>
          </w:tcPr>
          <w:p>
            <w:pPr>
              <w:pStyle w:val="table-level-1"/>
              <w:ind w:leftChars="0" w:left="0" w:right="0"/>
              <w:keepNext/>
            </w:pPr>
            <w:r>
              <w:t>0,055</w:t>
            </w:r>
          </w:p>
        </w:tc>
        <w:tc>
          <w:tcPr>
            <w:cnfStyle w:evenVBand="false" w:oddVBand="true" w:firstColumn="false"/>
            <w:tcW w:w="13.727455%" w:type="pct"/>
          </w:tcPr>
          <w:p>
            <w:pPr>
              <w:pStyle w:val="table-level-1"/>
              <w:ind w:leftChars="0" w:left="0" w:right="0"/>
              <w:keepNext/>
            </w:pPr>
            <w:r>
              <w:t>0,051</w:t>
            </w:r>
          </w:p>
        </w:tc>
        <w:tc>
          <w:tcPr>
            <w:cnfStyle w:evenVBand="true" w:oddVBand="false" w:firstColumn="false"/>
            <w:tcW w:w="13.727455%" w:type="pct"/>
          </w:tcPr>
          <w:p>
            <w:pPr>
              <w:pStyle w:val="table-level-1"/>
              <w:ind w:leftChars="0" w:left="0" w:right="0"/>
              <w:keepNext/>
            </w:pPr>
            <w:r>
              <w:t>0,051</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A50026"/>
              </w:rPr>
              <w:t>Basso</w:t>
            </w:r>
          </w:p>
        </w:tc>
        <w:tc>
          <w:tcPr>
            <w:cnfStyle w:evenVBand="false" w:oddVBand="true" w:firstColumn="false"/>
            <w:tcW w:w="13.727455%" w:type="pct"/>
          </w:tcPr>
          <w:p>
            <w:pPr>
              <w:pStyle w:val="table-level-0"/>
              <w:ind w:leftChars="0" w:left="0" w:right="0"/>
              <w:keepNext/>
            </w:pPr>
            <w:r>
              <w:rPr>
                <w:b/>
                <w:color w:val="A50026"/>
              </w:rPr>
              <w:t>Basso</w:t>
            </w:r>
          </w:p>
        </w:tc>
        <w:tc>
          <w:tcPr>
            <w:cnfStyle w:evenVBand="true" w:oddVBand="false" w:firstColumn="false"/>
            <w:tcW w:w="13.727455%" w:type="pct"/>
          </w:tcPr>
          <w:p>
            <w:pPr>
              <w:pStyle w:val="table-level-0"/>
              <w:ind w:leftChars="0" w:left="0" w:right="0"/>
              <w:keepNext/>
            </w:pPr>
            <w:r>
              <w:rPr>
                <w:b/>
                <w:color w:val="A50026"/>
              </w:rPr>
              <w:t>Basso</w:t>
            </w:r>
          </w:p>
        </w:tc>
        <w:tc>
          <w:tcPr>
            <w:cnfStyle w:evenVBand="false" w:oddVBand="true" w:firstColumn="false"/>
            <w:tcW w:w="13.727455%" w:type="pct"/>
          </w:tcPr>
          <w:p>
            <w:pPr>
              <w:pStyle w:val="table-level-0"/>
              <w:ind w:leftChars="0" w:left="0" w:right="0"/>
              <w:keepNext/>
            </w:pPr>
            <w:r>
              <w:rPr>
                <w:b/>
                <w:color w:val="A50026"/>
              </w:rPr>
              <w:t>Basso</w:t>
            </w:r>
          </w:p>
        </w:tc>
        <w:tc>
          <w:tcPr>
            <w:cnfStyle w:evenVBand="true" w:oddVBand="false" w:firstColumn="false"/>
            <w:tcW w:w="13.727455%" w:type="pct"/>
          </w:tcPr>
          <w:p>
            <w:pPr>
              <w:pStyle w:val="table-level-0"/>
              <w:ind w:leftChars="0" w:left="0" w:right="0"/>
              <w:keepNext/>
            </w:pPr>
            <w:r>
              <w:rPr>
                <w:b/>
                <w:color w:val="A50026"/>
              </w:rPr>
              <w:t>Basso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Disponibilità liquide/Fatturato</w:t>
            </w:r>
          </w:p>
        </w:tc>
        <w:tc>
          <w:tcPr>
            <w:cnfStyle w:evenVBand="true" w:oddVBand="false" w:firstColumn="false"/>
            <w:tcW w:w="13.727455%" w:type="pct"/>
          </w:tcPr>
          <w:p>
            <w:pPr>
              <w:pStyle w:val="table-level-1"/>
              <w:ind w:leftChars="0" w:left="0" w:right="0"/>
              <w:keepNext/>
            </w:pPr>
            <w:r>
              <w:t>0,21</w:t>
            </w:r>
          </w:p>
        </w:tc>
        <w:tc>
          <w:tcPr>
            <w:cnfStyle w:evenVBand="false" w:oddVBand="true" w:firstColumn="false"/>
            <w:tcW w:w="13.727455%" w:type="pct"/>
          </w:tcPr>
          <w:p>
            <w:pPr>
              <w:pStyle w:val="table-level-1"/>
              <w:ind w:leftChars="0" w:left="0" w:right="0"/>
              <w:keepNext/>
            </w:pPr>
            <w:r>
              <w:t>0,043</w:t>
            </w:r>
          </w:p>
        </w:tc>
        <w:tc>
          <w:tcPr>
            <w:cnfStyle w:evenVBand="true" w:oddVBand="false" w:firstColumn="false"/>
            <w:tcW w:w="13.727455%" w:type="pct"/>
          </w:tcPr>
          <w:p>
            <w:pPr>
              <w:pStyle w:val="table-level-1"/>
              <w:ind w:leftChars="0" w:left="0" w:right="0"/>
              <w:keepNext/>
            </w:pPr>
            <w:r>
              <w:t>0,087</w:t>
            </w:r>
          </w:p>
        </w:tc>
        <w:tc>
          <w:tcPr>
            <w:cnfStyle w:evenVBand="false" w:oddVBand="true" w:firstColumn="false"/>
            <w:tcW w:w="13.727455%" w:type="pct"/>
          </w:tcPr>
          <w:p>
            <w:pPr>
              <w:pStyle w:val="table-level-1"/>
              <w:ind w:leftChars="0" w:left="0" w:right="0"/>
              <w:keepNext/>
            </w:pPr>
            <w:r>
              <w:t>0,11</w:t>
            </w:r>
          </w:p>
        </w:tc>
        <w:tc>
          <w:tcPr>
            <w:cnfStyle w:evenVBand="true" w:oddVBand="false" w:firstColumn="false"/>
            <w:tcW w:w="13.727455%" w:type="pct"/>
          </w:tcPr>
          <w:p>
            <w:pPr>
              <w:pStyle w:val="table-level-1"/>
              <w:ind w:leftChars="0" w:left="0" w:right="0"/>
              <w:keepNext/>
            </w:pPr>
            <w:r>
              <w:t>0,19</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A6D96A"/>
                <w:u w:val="none"/>
              </w:rPr>
              <w:t>Medio Alto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006837"/>
                <w:u w:val="none"/>
              </w:rPr>
              <w:t>Alto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Fatturato/Rimanenze</w:t>
            </w:r>
          </w:p>
        </w:tc>
        <w:tc>
          <w:tcPr>
            <w:cnfStyle w:evenVBand="true" w:oddVBand="false" w:firstColumn="false"/>
            <w:tcW w:w="13.727455%" w:type="pct"/>
          </w:tcPr>
          <w:p>
            <w:pPr>
              <w:pStyle w:val="table-level-1"/>
              <w:ind w:leftChars="0" w:left="0" w:right="0"/>
              <w:keepNext/>
            </w:pPr>
            <w:r>
              <w:t>30,1</w:t>
            </w:r>
          </w:p>
        </w:tc>
        <w:tc>
          <w:tcPr>
            <w:cnfStyle w:evenVBand="false" w:oddVBand="true" w:firstColumn="false"/>
            <w:tcW w:w="13.727455%" w:type="pct"/>
          </w:tcPr>
          <w:p>
            <w:pPr>
              <w:pStyle w:val="table-level-1"/>
              <w:ind w:leftChars="0" w:left="0" w:right="0"/>
              <w:keepNext/>
            </w:pPr>
            <w:r>
              <w:t>32,9</w:t>
            </w:r>
          </w:p>
        </w:tc>
        <w:tc>
          <w:tcPr>
            <w:cnfStyle w:evenVBand="true" w:oddVBand="false" w:firstColumn="false"/>
            <w:tcW w:w="13.727455%" w:type="pct"/>
          </w:tcPr>
          <w:p>
            <w:pPr>
              <w:pStyle w:val="table-level-1"/>
              <w:ind w:leftChars="0" w:left="0" w:right="0"/>
              <w:keepNext/>
            </w:pPr>
            <w:r>
              <w:t>35,8</w:t>
            </w:r>
          </w:p>
        </w:tc>
        <w:tc>
          <w:tcPr>
            <w:cnfStyle w:evenVBand="false" w:oddVBand="true" w:firstColumn="false"/>
            <w:tcW w:w="13.727455%" w:type="pct"/>
          </w:tcPr>
          <w:p>
            <w:pPr>
              <w:pStyle w:val="table-level-1"/>
              <w:ind w:leftChars="0" w:left="0" w:right="0"/>
              <w:keepNext/>
            </w:pPr>
            <w:r>
              <w:t>40,5</w:t>
            </w:r>
          </w:p>
        </w:tc>
        <w:tc>
          <w:tcPr>
            <w:cnfStyle w:evenVBand="true" w:oddVBand="false" w:firstColumn="false"/>
            <w:tcW w:w="13.727455%" w:type="pct"/>
          </w:tcPr>
          <w:p>
            <w:pPr>
              <w:pStyle w:val="table-level-1"/>
              <w:ind w:leftChars="0" w:left="0" w:right="0"/>
              <w:keepNext/>
            </w:pPr>
            <w:r>
              <w:t>33,8</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006837"/>
                <w:u w:val="none"/>
              </w:rPr>
              <w:t>Alto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006837"/>
                <w:u w:val="none"/>
              </w:rPr>
              <w:t>Alto</w:t>
            </w:r>
          </w:p>
        </w:tc>
        <w:tc>
          <w:tcPr>
            <w:cnfStyle w:evenVBand="true" w:oddVBand="false" w:firstColumn="false"/>
            <w:tcW w:w="13.727455%" w:type="pct"/>
          </w:tcPr>
          <w:p>
            <w:pPr>
              <w:pStyle w:val="table-level-0"/>
              <w:ind w:leftChars="0" w:left="0" w:right="0"/>
              <w:keepNext/>
            </w:pPr>
            <w:r>
              <w:rPr>
                <w:b/>
                <w:color w:val="006837"/>
                <w:u w:val="none"/>
              </w:rPr>
              <w:t>Alto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Variazione Fatturato</w:t>
            </w:r>
          </w:p>
        </w:tc>
        <w:tc>
          <w:tcPr>
            <w:cnfStyle w:evenVBand="true" w:oddVBand="false" w:firstColumn="false"/>
            <w:tcW w:w="13.727455%" w:type="pct"/>
          </w:tcPr>
          <w:p>
            <w:pPr>
              <w:pStyle w:val="table-level-1"/>
              <w:ind w:leftChars="0" w:left="0" w:right="0"/>
              <w:keepNext/>
            </w:pPr>
            <w:r>
              <w:t>0,096</w:t>
            </w:r>
          </w:p>
        </w:tc>
        <w:tc>
          <w:tcPr>
            <w:cnfStyle w:evenVBand="false" w:oddVBand="true" w:firstColumn="false"/>
            <w:tcW w:w="13.727455%" w:type="pct"/>
          </w:tcPr>
          <w:p>
            <w:pPr>
              <w:pStyle w:val="table-level-1"/>
              <w:ind w:leftChars="0" w:left="0" w:right="0"/>
              <w:keepNext/>
            </w:pPr>
            <w:r>
              <w:t>0,14</w:t>
            </w:r>
          </w:p>
        </w:tc>
        <w:tc>
          <w:tcPr>
            <w:cnfStyle w:evenVBand="true" w:oddVBand="false" w:firstColumn="false"/>
            <w:tcW w:w="13.727455%" w:type="pct"/>
          </w:tcPr>
          <w:p>
            <w:pPr>
              <w:pStyle w:val="table-level-1"/>
              <w:ind w:leftChars="0" w:left="0" w:right="0"/>
              <w:keepNext/>
            </w:pPr>
            <w:r>
              <w:t>0,11</w:t>
            </w:r>
          </w:p>
        </w:tc>
        <w:tc>
          <w:tcPr>
            <w:cnfStyle w:evenVBand="false" w:oddVBand="true" w:firstColumn="false"/>
            <w:tcW w:w="13.727455%" w:type="pct"/>
          </w:tcPr>
          <w:p>
            <w:pPr>
              <w:pStyle w:val="table-level-1"/>
              <w:ind w:leftChars="0" w:left="0" w:right="0"/>
              <w:keepNext/>
            </w:pPr>
            <w:r>
              <w:t>0,28</w:t>
            </w:r>
          </w:p>
        </w:tc>
        <w:tc>
          <w:tcPr>
            <w:cnfStyle w:evenVBand="true" w:oddVBand="false" w:firstColumn="false"/>
            <w:tcW w:w="13.727455%" w:type="pct"/>
          </w:tcPr>
          <w:p>
            <w:pPr>
              <w:pStyle w:val="table-level-1"/>
              <w:ind w:leftChars="0" w:left="0" w:right="0"/>
              <w:keepNext/>
            </w:pPr>
            <w:r>
              <w:t>-0,02</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006837"/>
                <w:u w:val="none"/>
              </w:rPr>
              <w:t>Alto</w:t>
            </w:r>
          </w:p>
        </w:tc>
        <w:tc>
          <w:tcPr>
            <w:cnfStyle w:evenVBand="false" w:oddVBand="true" w:firstColumn="false"/>
            <w:tcW w:w="13.727455%" w:type="pct"/>
          </w:tcPr>
          <w:p>
            <w:pPr>
              <w:pStyle w:val="table-level-0"/>
              <w:ind w:leftChars="0" w:left="0" w:right="0"/>
              <w:keepNext/>
            </w:pPr>
            <w:r>
              <w:rPr>
                <w:b/>
                <w:color w:val="F46D43"/>
              </w:rPr>
              <w:t>Medio Basso</w:t>
            </w:r>
          </w:p>
        </w:tc>
        <w:tc>
          <w:tcPr>
            <w:cnfStyle w:evenVBand="true" w:oddVBand="false" w:firstColumn="false"/>
            <w:tcW w:w="13.727455%" w:type="pct"/>
          </w:tcPr>
          <w:p>
            <w:pPr>
              <w:pStyle w:val="table-level-0"/>
              <w:ind w:leftChars="0" w:left="0" w:right="0"/>
              <w:keepNext/>
            </w:pPr>
            <w:r>
              <w:rPr>
                <w:b/>
                <w:color w:val="A6D96A"/>
                <w:u w:val="none"/>
              </w:rPr>
              <w:t>Medio Alto</w:t>
            </w:r>
          </w:p>
        </w:tc>
      </w:tr>
      <w:tr>
        <w:trPr>
          <w:cnfStyle w:evenHBand="true" w:oddHBand="false" w:firstRow="false"/>
          <w:cantSplit/>
        </w:trPr>
        <w:tc>
          <w:tcPr>
            <w:cnfStyle w:evenVBand="false" w:oddVBand="true" w:firstColumn="false"/>
            <w:tcW w:w="31.362725%" w:type="pct"/>
          </w:tcPr>
          <w:p>
            <w:pPr>
              <w:pStyle w:val="index-table-level-1"/>
              <w:ind w:leftChars="0" w:left="0" w:right="0"/>
              <w:keepNext/>
            </w:pPr>
            <w:r>
              <w:t>Patrimonio netto/Attivo</w:t>
            </w:r>
          </w:p>
        </w:tc>
        <w:tc>
          <w:tcPr>
            <w:cnfStyle w:evenVBand="true" w:oddVBand="false" w:firstColumn="false"/>
            <w:tcW w:w="13.727455%" w:type="pct"/>
          </w:tcPr>
          <w:p>
            <w:pPr>
              <w:pStyle w:val="table-level-1"/>
              <w:ind w:leftChars="0" w:left="0" w:right="0"/>
              <w:keepNext/>
            </w:pPr>
            <w:r>
              <w:t>0,37</w:t>
            </w:r>
          </w:p>
        </w:tc>
        <w:tc>
          <w:tcPr>
            <w:cnfStyle w:evenVBand="false" w:oddVBand="true" w:firstColumn="false"/>
            <w:tcW w:w="13.727455%" w:type="pct"/>
          </w:tcPr>
          <w:p>
            <w:pPr>
              <w:pStyle w:val="table-level-1"/>
              <w:ind w:leftChars="0" w:left="0" w:right="0"/>
              <w:keepNext/>
            </w:pPr>
            <w:r>
              <w:t>0,4</w:t>
            </w:r>
          </w:p>
        </w:tc>
        <w:tc>
          <w:tcPr>
            <w:cnfStyle w:evenVBand="true" w:oddVBand="false" w:firstColumn="false"/>
            <w:tcW w:w="13.727455%" w:type="pct"/>
          </w:tcPr>
          <w:p>
            <w:pPr>
              <w:pStyle w:val="table-level-1"/>
              <w:ind w:leftChars="0" w:left="0" w:right="0"/>
              <w:keepNext/>
            </w:pPr>
            <w:r>
              <w:t>0,35</w:t>
            </w:r>
          </w:p>
        </w:tc>
        <w:tc>
          <w:tcPr>
            <w:cnfStyle w:evenVBand="false" w:oddVBand="true" w:firstColumn="false"/>
            <w:tcW w:w="13.727455%" w:type="pct"/>
          </w:tcPr>
          <w:p>
            <w:pPr>
              <w:pStyle w:val="table-level-1"/>
              <w:ind w:leftChars="0" w:left="0" w:right="0"/>
              <w:keepNext/>
            </w:pPr>
            <w:r>
              <w:t>0,3</w:t>
            </w:r>
          </w:p>
        </w:tc>
        <w:tc>
          <w:tcPr>
            <w:cnfStyle w:evenVBand="true" w:oddVBand="false" w:firstColumn="false"/>
            <w:tcW w:w="13.727455%" w:type="pct"/>
          </w:tcPr>
          <w:p>
            <w:pPr>
              <w:pStyle w:val="table-level-1"/>
              <w:ind w:leftChars="0" w:left="0" w:right="0"/>
              <w:keepNext/>
            </w:pPr>
            <w:r>
              <w:t>0,25</w:t>
            </w:r>
          </w:p>
        </w:tc>
      </w:tr>
      <w:tr>
        <w:trPr>
          <w:cnfStyle w:evenHBand="false" w:oddHBand="true" w:firstRow="false"/>
          <w:cantSplit/>
        </w:trPr>
        <w:tc>
          <w:tcPr>
            <w:cnfStyle w:evenVBand="false" w:oddVBand="true" w:firstColumn="false"/>
            <w:tcW w:w="31.362725%" w:type="pct"/>
          </w:tcPr>
          <w:p>
            <w:pPr>
              <w:pStyle w:val="index-table-level-0"/>
              <w:ind w:leftChars="0" w:left="0" w:right="0"/>
              <w:keepNext/>
            </w:pPr>
            <w:r>
              <w:t>Giudizio</w:t>
            </w:r>
          </w:p>
        </w:tc>
        <w:tc>
          <w:tcPr>
            <w:cnfStyle w:evenVBand="true" w:oddVBand="false" w:firstColumn="false"/>
            <w:tcW w:w="13.727455%" w:type="pct"/>
          </w:tcPr>
          <w:p>
            <w:pPr>
              <w:pStyle w:val="table-level-0"/>
              <w:ind w:leftChars="0" w:left="0" w:right="0"/>
              <w:keepNext/>
            </w:pPr>
            <w:r>
              <w:rPr>
                <w:b/>
                <w:color w:val="A6D96A"/>
                <w:u w:val="none"/>
              </w:rPr>
              <w:t>Medio Alto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A6D96A"/>
                <w:u w:val="none"/>
              </w:rPr>
              <w:t>Medio Alto</w:t>
            </w:r>
          </w:p>
        </w:tc>
        <w:tc>
          <w:tcPr>
            <w:cnfStyle w:evenVBand="false" w:oddVBand="true" w:firstColumn="false"/>
            <w:tcW w:w="13.727455%" w:type="pct"/>
          </w:tcPr>
          <w:p>
            <w:pPr>
              <w:pStyle w:val="table-level-0"/>
              <w:ind w:leftChars="0" w:left="0" w:right="0"/>
              <w:keepNext/>
            </w:pPr>
            <w:r>
              <w:rPr>
                <w:b/>
                <w:color w:val="A6D96A"/>
                <w:u w:val="none"/>
              </w:rPr>
              <w:t>Medio Alto</w:t>
            </w:r>
          </w:p>
        </w:tc>
        <w:tc>
          <w:tcPr>
            <w:cnfStyle w:evenVBand="true" w:oddVBand="false" w:firstColumn="false"/>
            <w:tcW w:w="13.727455%" w:type="pct"/>
          </w:tcPr>
          <w:p>
            <w:pPr>
              <w:pStyle w:val="table-level-0"/>
              <w:ind w:leftChars="0" w:left="0" w:right="0"/>
              <w:keepNext/>
            </w:pPr>
            <w:r>
              <w:rPr>
                <w:b/>
                <w:color w:val="FFCC3D"/>
              </w:rPr>
              <w:t>Medio</w:t>
            </w:r>
          </w:p>
        </w:tc>
      </w:tr>
    </w:tbl>
    <w:p>
      <w:pPr>
        <w:pStyle w:val="TableBottomMargin"/>
      </w:pPr>
    </w:p>
    <w:br w:type="page"/>
    <w:bookmarkEnd w:id="678"/>
    <w:bookmarkStart w:id="679" w:name="_a7c2cd2e5cc651ec66a952959e7a1f51"/>
    <w:p>
      <w:pPr>
        <w:pStyle w:val="Heading2"/>
        <w:keepNext/>
      </w:pPr>
      <w:r>
        <w:t>Modulo andamentale - Centrale rischi</w:t>
      </w:r>
    </w:p>
    <w:p>
      <w:pPr>
        <w:pStyle w:val="BodyText"/>
        <w:ind w:leftChars="0" w:left="0" w:right="0"/>
      </w:pPr>
      <w:r>
        <w:t>Il modulo andamentale fornisce una misura predittiva del profilo di rischio di credito, analizzando la dinamica dei rischi a scadenza e dell’esposizione per cassa sulla base dei report di Banca d’Italia.</w:t>
      </w:r>
    </w:p>
    <w:p>
      <w:pPr>
        <w:pStyle w:val="BodyText"/>
        <w:ind w:leftChars="0" w:left="0" w:right="0"/>
      </w:pPr>
      <w:r>
        <w:t xml:space="preserve">Tale modulo è stato alimentato con i dati dal 28 febbraio 2022 al 31 dicembre 2019. La tabella che segue offre un riscontro sulla valutazione della </w:t>
      </w:r>
      <w:r>
        <w:rPr>
          <w:i/>
          <w:iCs/>
        </w:rPr>
        <w:t>Società</w:t>
      </w:r>
      <w:r>
        <w:t xml:space="preserve"> sulla base della gestione delle proprie esposizioni debitorie distinte in: Rischi a scadenza, Rischi autoliquidanti, Rischi a revoca e Sofferenze. I valori di ciascuna colonna si riferiscono ai sei mesi che precedono la rispettiva data di riferimento.</w:t>
      </w:r>
    </w:p>
    <w:tbl>
      <w:tblPr>
        <w:tblStyle w:val="table-custom"/>
        <w:tblW w:w="100.000000%" w:type="pct"/>
        <w:tblInd w:w="0" w:type="dxa"/>
        <w:tblLook w:noHBand="false" w:noVBand="false" w:lastRow="false" w:lastColumn="false" w:firstRow="true" w:firstColumn="false"/>
      </w:tblPr>
      <w:tblGrid>
        <w:gridCol w:w="3201"/>
        <w:gridCol w:w="1749"/>
        <w:gridCol w:w="1749"/>
        <w:gridCol w:w="1749"/>
        <w:gridCol w:w="1749"/>
      </w:tblGrid>
      <w:tr>
        <w:trPr>
          <w:cnfStyle w:evenHBand="false" w:oddHBand="true" w:firstRow="true"/>
          <w:cantSplit/>
          <w:tblHeader/>
        </w:trPr>
        <w:tc>
          <w:tcPr>
            <w:cnfStyle w:evenVBand="false" w:oddVBand="true" w:firstColumn="false"/>
            <w:tcW w:w="31.394183%" w:type="pct"/>
          </w:tcPr>
          <w:p>
            <w:pPr>
              <w:ind w:leftChars="0" w:left="0" w:right="0"/>
              <w:keepNext/>
            </w:pPr>
            <w:r>
              <w:t>Valori in migliaia di €</w:t>
            </w:r>
          </w:p>
        </w:tc>
        <w:tc>
          <w:tcPr>
            <w:cnfStyle w:evenVBand="true" w:oddVBand="false" w:firstColumn="false"/>
            <w:tcW w:w="17.151454%" w:type="pct"/>
          </w:tcPr>
          <w:p>
            <w:pPr>
              <w:pStyle w:val="table-level-columns"/>
              <w:ind w:leftChars="0" w:left="0" w:right="0"/>
              <w:keepNext/>
            </w:pPr>
            <w:r>
              <w:t>feb-22</w:t>
            </w:r>
          </w:p>
        </w:tc>
        <w:tc>
          <w:tcPr>
            <w:cnfStyle w:evenVBand="false" w:oddVBand="true" w:firstColumn="false"/>
            <w:tcW w:w="17.151454%" w:type="pct"/>
          </w:tcPr>
          <w:p>
            <w:pPr>
              <w:pStyle w:val="table-level-columns"/>
              <w:ind w:leftChars="0" w:left="0" w:right="0"/>
              <w:keepNext/>
            </w:pPr>
            <w:r>
              <w:t>dic-21</w:t>
            </w:r>
          </w:p>
        </w:tc>
        <w:tc>
          <w:tcPr>
            <w:cnfStyle w:evenVBand="true" w:oddVBand="false" w:firstColumn="false"/>
            <w:tcW w:w="17.151454%" w:type="pct"/>
          </w:tcPr>
          <w:p>
            <w:pPr>
              <w:pStyle w:val="table-level-columns"/>
              <w:ind w:leftChars="0" w:left="0" w:right="0"/>
              <w:keepNext/>
            </w:pPr>
            <w:r>
              <w:t>dic-20</w:t>
            </w:r>
          </w:p>
        </w:tc>
        <w:tc>
          <w:tcPr>
            <w:cnfStyle w:evenVBand="false" w:oddVBand="true" w:firstColumn="false"/>
            <w:tcW w:w="17.151454%" w:type="pct"/>
          </w:tcPr>
          <w:p>
            <w:pPr>
              <w:pStyle w:val="table-level-columns"/>
              <w:ind w:leftChars="0" w:left="0" w:right="0"/>
              <w:keepNext/>
            </w:pPr>
            <w:r>
              <w:t>dic-19</w:t>
            </w:r>
          </w:p>
        </w:tc>
      </w:tr>
      <w:tr>
        <w:trPr>
          <w:cnfStyle w:evenHBand="false" w:oddHBand="true" w:firstRow="false"/>
          <w:cantSplit/>
        </w:trPr>
        <w:tc>
          <w:tcPr>
            <w:cnfStyle w:evenVBand="false" w:oddVBand="true" w:firstColumn="false"/>
            <w:tcW w:w="31.394183%" w:type="pct"/>
          </w:tcPr>
          <w:p>
            <w:pPr>
              <w:pStyle w:val="index-table-level-2"/>
              <w:ind w:leftChars="0" w:left="0" w:right="0"/>
              <w:keepNext/>
            </w:pPr>
            <w:r>
              <w:t>Valutazione per semestri</w:t>
            </w:r>
          </w:p>
        </w:tc>
        <w:tc>
          <w:tcPr>
            <w:cnfStyle w:evenVBand="true" w:oddVBand="false" w:firstColumn="false"/>
            <w:tcW w:w="17.151454%" w:type="pct"/>
          </w:tcPr>
          <w:p>
            <w:pPr>
              <w:pStyle w:val="table-level-2"/>
              <w:ind w:leftChars="0" w:left="0" w:right="0"/>
              <w:keepNext/>
            </w:pPr>
            <w:r>
              <w:t>CR1</w:t>
            </w:r>
          </w:p>
        </w:tc>
        <w:tc>
          <w:tcPr>
            <w:cnfStyle w:evenVBand="false" w:oddVBand="true" w:firstColumn="false"/>
            <w:tcW w:w="17.151454%" w:type="pct"/>
          </w:tcPr>
          <w:p>
            <w:pPr>
              <w:pStyle w:val="table-level-2"/>
              <w:ind w:leftChars="0" w:left="0" w:right="0"/>
              <w:keepNext/>
            </w:pPr>
            <w:r>
              <w:t>CR1</w:t>
            </w:r>
          </w:p>
        </w:tc>
        <w:tc>
          <w:tcPr>
            <w:cnfStyle w:evenVBand="true" w:oddVBand="false" w:firstColumn="false"/>
            <w:tcW w:w="17.151454%" w:type="pct"/>
          </w:tcPr>
          <w:p>
            <w:pPr>
              <w:pStyle w:val="table-level-2"/>
              <w:ind w:leftChars="0" w:left="0" w:right="0"/>
              <w:keepNext/>
            </w:pPr>
            <w:r>
              <w:t>CR1</w:t>
            </w:r>
          </w:p>
        </w:tc>
        <w:tc>
          <w:tcPr>
            <w:cnfStyle w:evenVBand="false" w:oddVBand="true" w:firstColumn="false"/>
            <w:tcW w:w="17.151454%" w:type="pct"/>
          </w:tcPr>
          <w:p>
            <w:pPr>
              <w:pStyle w:val="table-level-2"/>
              <w:ind w:leftChars="0" w:left="0" w:right="0"/>
              <w:keepNext/>
            </w:pPr>
            <w:r>
              <w:t>CR6</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Rischi a scadenza</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Media semestrale accordato</w:t>
            </w:r>
          </w:p>
        </w:tc>
        <w:tc>
          <w:tcPr>
            <w:cnfStyle w:evenVBand="true" w:oddVBand="false" w:firstColumn="false"/>
            <w:tcW w:w="17.151454%" w:type="pct"/>
          </w:tcPr>
          <w:p>
            <w:pPr>
              <w:pStyle w:val="table-level-0"/>
              <w:ind w:leftChars="0" w:left="0" w:right="0"/>
              <w:keepNext/>
            </w:pPr>
            <w:r>
              <w:t>684,2</w:t>
            </w:r>
          </w:p>
        </w:tc>
        <w:tc>
          <w:tcPr>
            <w:cnfStyle w:evenVBand="false" w:oddVBand="true" w:firstColumn="false"/>
            <w:tcW w:w="17.151454%" w:type="pct"/>
          </w:tcPr>
          <w:p>
            <w:pPr>
              <w:pStyle w:val="table-level-0"/>
              <w:ind w:leftChars="0" w:left="0" w:right="0"/>
              <w:keepNext/>
            </w:pPr>
            <w:r>
              <w:t>697,5</w:t>
            </w:r>
          </w:p>
        </w:tc>
        <w:tc>
          <w:tcPr>
            <w:cnfStyle w:evenVBand="true" w:oddVBand="false" w:firstColumn="false"/>
            <w:tcW w:w="17.151454%" w:type="pct"/>
          </w:tcPr>
          <w:p>
            <w:pPr>
              <w:pStyle w:val="table-level-0"/>
              <w:ind w:leftChars="0" w:left="0" w:right="0"/>
              <w:keepNext/>
            </w:pPr>
            <w:r>
              <w:t>765,9</w:t>
            </w:r>
          </w:p>
        </w:tc>
        <w:tc>
          <w:tcPr>
            <w:cnfStyle w:evenVBand="false" w:oddVBand="true" w:firstColumn="false"/>
            <w:tcW w:w="17.151454%" w:type="pct"/>
          </w:tcPr>
          <w:p>
            <w:pPr>
              <w:pStyle w:val="table-level-0"/>
              <w:ind w:leftChars="0" w:left="0" w:right="0"/>
              <w:keepNext/>
            </w:pPr>
            <w:r>
              <w:t>411,3</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Media semestrale utilizzato</w:t>
            </w:r>
          </w:p>
        </w:tc>
        <w:tc>
          <w:tcPr>
            <w:cnfStyle w:evenVBand="true" w:oddVBand="false" w:firstColumn="false"/>
            <w:tcW w:w="17.151454%" w:type="pct"/>
          </w:tcPr>
          <w:p>
            <w:pPr>
              <w:pStyle w:val="table-level-0"/>
              <w:ind w:leftChars="0" w:left="0" w:right="0"/>
              <w:keepNext/>
            </w:pPr>
            <w:r>
              <w:t>-684,2</w:t>
            </w:r>
          </w:p>
        </w:tc>
        <w:tc>
          <w:tcPr>
            <w:cnfStyle w:evenVBand="false" w:oddVBand="true" w:firstColumn="false"/>
            <w:tcW w:w="17.151454%" w:type="pct"/>
          </w:tcPr>
          <w:p>
            <w:pPr>
              <w:pStyle w:val="table-level-0"/>
              <w:ind w:leftChars="0" w:left="0" w:right="0"/>
              <w:keepNext/>
            </w:pPr>
            <w:r>
              <w:t>-697,5</w:t>
            </w:r>
          </w:p>
        </w:tc>
        <w:tc>
          <w:tcPr>
            <w:cnfStyle w:evenVBand="true" w:oddVBand="false" w:firstColumn="false"/>
            <w:tcW w:w="17.151454%" w:type="pct"/>
          </w:tcPr>
          <w:p>
            <w:pPr>
              <w:pStyle w:val="table-level-0"/>
              <w:ind w:leftChars="0" w:left="0" w:right="0"/>
              <w:keepNext/>
            </w:pPr>
            <w:r>
              <w:t>-725,9</w:t>
            </w:r>
          </w:p>
        </w:tc>
        <w:tc>
          <w:tcPr>
            <w:cnfStyle w:evenVBand="false" w:oddVBand="true" w:firstColumn="false"/>
            <w:tcW w:w="17.151454%" w:type="pct"/>
          </w:tcPr>
          <w:p>
            <w:pPr>
              <w:pStyle w:val="table-level-0"/>
              <w:ind w:leftChars="0" w:left="0" w:right="0"/>
              <w:keepNext/>
            </w:pPr>
            <w:r>
              <w:t>-386,3</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Rischi autoliquidanti</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Media semestrale accordato</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Media semestrale utilizzato</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Rischi a revoca</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c>
          <w:tcPr>
            <w:cnfStyle w:evenVBand="true" w:oddVBand="false" w:firstColumn="false"/>
            <w:tcW w:w="17.151454%" w:type="pct"/>
          </w:tcPr>
          <w:p>
            <w:pPr>
              <w:pStyle w:val="table-level-1"/>
              <w:ind w:leftChars="0" w:left="0" w:right="0"/>
              <w:keepNext/>
            </w:pPr>
            <w:r>
              <w:rPr>
                <w:b/>
                <w:color w:val="006837"/>
                <w:u w:val="none"/>
              </w:rPr>
              <w:t>0 sconfini</w:t>
            </w:r>
          </w:p>
        </w:tc>
        <w:tc>
          <w:tcPr>
            <w:cnfStyle w:evenVBand="false" w:oddVBand="true" w:firstColumn="false"/>
            <w:tcW w:w="17.151454%" w:type="pct"/>
          </w:tcPr>
          <w:p>
            <w:pPr>
              <w:pStyle w:val="table-level-1"/>
              <w:ind w:leftChars="0" w:left="0" w:right="0"/>
              <w:keepNext/>
            </w:pPr>
            <w:r>
              <w:rPr>
                <w:b/>
                <w:color w:val="006837"/>
                <w:u w:val="none"/>
              </w:rPr>
              <w:t>0 sconfini</w:t>
            </w:r>
          </w:p>
        </w:tc>
      </w:tr>
      <w:tr>
        <w:trPr>
          <w:cnfStyle w:evenHBand="false" w:oddHBand="true" w:firstRow="false"/>
          <w:cantSplit/>
        </w:trPr>
        <w:tc>
          <w:tcPr>
            <w:cnfStyle w:evenVBand="false" w:oddVBand="true" w:firstColumn="false"/>
            <w:tcW w:w="31.394183%" w:type="pct"/>
          </w:tcPr>
          <w:p>
            <w:pPr>
              <w:pStyle w:val="index-table-level-0"/>
              <w:ind w:leftChars="0" w:left="0" w:right="0"/>
              <w:keepNext/>
            </w:pPr>
            <w:r>
              <w:t>Media semestrale accordato</w:t>
            </w:r>
          </w:p>
        </w:tc>
        <w:tc>
          <w:tcPr>
            <w:cnfStyle w:evenVBand="true" w:oddVBand="false" w:firstColumn="false"/>
            <w:tcW w:w="17.151454%" w:type="pct"/>
          </w:tcPr>
          <w:p>
            <w:pPr>
              <w:pStyle w:val="table-level-0"/>
              <w:ind w:leftChars="0" w:left="0" w:right="0"/>
              <w:keepNext/>
            </w:pPr>
            <w:r>
              <w:t>157,4</w:t>
            </w:r>
          </w:p>
        </w:tc>
        <w:tc>
          <w:tcPr>
            <w:cnfStyle w:evenVBand="false" w:oddVBand="true" w:firstColumn="false"/>
            <w:tcW w:w="17.151454%" w:type="pct"/>
          </w:tcPr>
          <w:p>
            <w:pPr>
              <w:pStyle w:val="table-level-0"/>
              <w:ind w:leftChars="0" w:left="0" w:right="0"/>
              <w:keepNext/>
            </w:pPr>
            <w:r>
              <w:t>165,6</w:t>
            </w:r>
          </w:p>
        </w:tc>
        <w:tc>
          <w:tcPr>
            <w:cnfStyle w:evenVBand="true" w:oddVBand="false" w:firstColumn="false"/>
            <w:tcW w:w="17.151454%" w:type="pct"/>
          </w:tcPr>
          <w:p>
            <w:pPr>
              <w:pStyle w:val="table-level-0"/>
              <w:ind w:leftChars="0" w:left="0" w:right="0"/>
              <w:keepNext/>
            </w:pPr>
            <w:r>
              <w:t>150</w:t>
            </w:r>
          </w:p>
        </w:tc>
        <w:tc>
          <w:tcPr>
            <w:cnfStyle w:evenVBand="false" w:oddVBand="true" w:firstColumn="false"/>
            <w:tcW w:w="17.151454%" w:type="pct"/>
          </w:tcPr>
          <w:p>
            <w:pPr>
              <w:pStyle w:val="table-level-0"/>
              <w:ind w:leftChars="0" w:left="0" w:right="0"/>
              <w:keepNext/>
            </w:pPr>
            <w:r>
              <w:t>236,5</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Media semestrale utilizzato</w:t>
            </w:r>
          </w:p>
        </w:tc>
        <w:tc>
          <w:tcPr>
            <w:cnfStyle w:evenVBand="true" w:oddVBand="false" w:firstColumn="false"/>
            <w:tcW w:w="17.151454%" w:type="pct"/>
          </w:tcPr>
          <w:p>
            <w:pPr>
              <w:pStyle w:val="table-level-0"/>
              <w:ind w:leftChars="0" w:left="0" w:right="0"/>
              <w:keepNext/>
            </w:pPr>
            <w:r>
              <w:t>-0,72</w:t>
            </w:r>
          </w:p>
        </w:tc>
        <w:tc>
          <w:tcPr>
            <w:cnfStyle w:evenVBand="false" w:oddVBand="true" w:firstColumn="false"/>
            <w:tcW w:w="17.151454%" w:type="pct"/>
          </w:tcPr>
          <w:p>
            <w:pPr>
              <w:pStyle w:val="table-level-0"/>
              <w:ind w:leftChars="0" w:left="0" w:right="0"/>
              <w:keepNext/>
            </w:pPr>
            <w:r>
              <w:t>-0,63</w:t>
            </w:r>
          </w:p>
        </w:tc>
        <w:tc>
          <w:tcPr>
            <w:cnfStyle w:evenVBand="true" w:oddVBand="false" w:firstColumn="false"/>
            <w:tcW w:w="17.151454%" w:type="pct"/>
          </w:tcPr>
          <w:p>
            <w:pPr>
              <w:pStyle w:val="table-level-0"/>
              <w:ind w:leftChars="0" w:left="0" w:right="0"/>
              <w:keepNext/>
            </w:pPr>
            <w:r>
              <w:t>-6,98</w:t>
            </w:r>
          </w:p>
        </w:tc>
        <w:tc>
          <w:tcPr>
            <w:cnfStyle w:evenVBand="false" w:oddVBand="true" w:firstColumn="false"/>
            <w:tcW w:w="17.151454%" w:type="pct"/>
          </w:tcPr>
          <w:p>
            <w:pPr>
              <w:pStyle w:val="table-level-0"/>
              <w:ind w:leftChars="0" w:left="0" w:right="0"/>
              <w:keepNext/>
            </w:pPr>
            <w:r>
              <w:t>-116,5</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Sofferenze</w:t>
            </w:r>
          </w:p>
        </w:tc>
        <w:tc>
          <w:tcPr>
            <w:cnfStyle w:evenVBand="true" w:oddVBand="false" w:firstColumn="false"/>
            <w:tcW w:w="17.151454%" w:type="pct"/>
          </w:tcPr>
          <w:p>
            <w:pPr>
              <w:pStyle w:val="table-level-1"/>
              <w:ind w:leftChars="0" w:left="0" w:right="0"/>
              <w:keepNext/>
            </w:pPr>
            <w:r>
              <w:rPr>
                <w:b/>
                <w:color w:val="006837"/>
                <w:u w:val="none"/>
              </w:rPr>
              <w:t>0 sofferenze</w:t>
            </w:r>
          </w:p>
        </w:tc>
        <w:tc>
          <w:tcPr>
            <w:cnfStyle w:evenVBand="false" w:oddVBand="true" w:firstColumn="false"/>
            <w:tcW w:w="17.151454%" w:type="pct"/>
          </w:tcPr>
          <w:p>
            <w:pPr>
              <w:pStyle w:val="table-level-1"/>
              <w:ind w:leftChars="0" w:left="0" w:right="0"/>
              <w:keepNext/>
            </w:pPr>
            <w:r>
              <w:rPr>
                <w:b/>
                <w:color w:val="006837"/>
                <w:u w:val="none"/>
              </w:rPr>
              <w:t>0 sofferenze</w:t>
            </w:r>
          </w:p>
        </w:tc>
        <w:tc>
          <w:tcPr>
            <w:cnfStyle w:evenVBand="true" w:oddVBand="false" w:firstColumn="false"/>
            <w:tcW w:w="17.151454%" w:type="pct"/>
          </w:tcPr>
          <w:p>
            <w:pPr>
              <w:pStyle w:val="table-level-1"/>
              <w:ind w:leftChars="0" w:left="0" w:right="0"/>
              <w:keepNext/>
            </w:pPr>
            <w:r>
              <w:rPr>
                <w:b/>
                <w:color w:val="006837"/>
                <w:u w:val="none"/>
              </w:rPr>
              <w:t>0 sofferenze</w:t>
            </w:r>
          </w:p>
        </w:tc>
        <w:tc>
          <w:tcPr>
            <w:cnfStyle w:evenVBand="false" w:oddVBand="true" w:firstColumn="false"/>
            <w:tcW w:w="17.151454%" w:type="pct"/>
          </w:tcPr>
          <w:p>
            <w:pPr>
              <w:pStyle w:val="table-level-1"/>
              <w:ind w:leftChars="0" w:left="0" w:right="0"/>
              <w:keepNext/>
            </w:pPr>
            <w:r>
              <w:rPr>
                <w:b/>
                <w:color w:val="006837"/>
                <w:u w:val="none"/>
              </w:rPr>
              <w:t>0 sofferenze</w:t>
            </w:r>
          </w:p>
        </w:tc>
      </w:tr>
      <w:tr>
        <w:trPr>
          <w:cnfStyle w:evenHBand="true" w:oddHBand="false" w:firstRow="false"/>
          <w:cantSplit/>
        </w:trPr>
        <w:tc>
          <w:tcPr>
            <w:cnfStyle w:evenVBand="false" w:oddVBand="true" w:firstColumn="false"/>
            <w:tcW w:w="31.394183%" w:type="pct"/>
          </w:tcPr>
          <w:p>
            <w:pPr>
              <w:pStyle w:val="index-table-level-0"/>
              <w:ind w:leftChars="0" w:left="0" w:right="0"/>
              <w:keepNext/>
            </w:pPr>
            <w:r>
              <w:t>Media semestrale sofferenze</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c>
          <w:tcPr>
            <w:cnfStyle w:evenVBand="true" w:oddVBand="false" w:firstColumn="false"/>
            <w:tcW w:w="17.151454%" w:type="pct"/>
          </w:tcPr>
          <w:p>
            <w:pPr>
              <w:pStyle w:val="table-level-0"/>
              <w:ind w:leftChars="0" w:left="0" w:right="0"/>
              <w:keepNext/>
            </w:pPr>
            <w:r>
              <w:t>0</w:t>
            </w:r>
          </w:p>
        </w:tc>
        <w:tc>
          <w:tcPr>
            <w:cnfStyle w:evenVBand="false" w:oddVBand="true" w:firstColumn="false"/>
            <w:tcW w:w="17.151454%" w:type="pct"/>
          </w:tcPr>
          <w:p>
            <w:pPr>
              <w:pStyle w:val="table-level-0"/>
              <w:ind w:leftChars="0" w:left="0" w:right="0"/>
              <w:keepNext/>
            </w:pPr>
            <w:r>
              <w:t>0</w:t>
            </w:r>
          </w:p>
        </w:tc>
      </w:tr>
    </w:tbl>
    <w:p>
      <w:pPr>
        <w:pStyle w:val="TableBottomMargin"/>
      </w:pPr>
    </w:p>
    <w:br w:type="page"/>
    <w:bookmarkEnd w:id="679"/>
    <w:bookmarkStart w:id="680" w:name="_80bdf37e92e4c8df4c3a8731227219d3"/>
    <w:p>
      <w:pPr>
        <w:pStyle w:val="Heading2"/>
        <w:keepNext/>
      </w:pPr>
      <w:r>
        <w:t>Valutazione del Merito creditizio</w:t>
      </w:r>
    </w:p>
    <w:p>
      <w:pPr>
        <w:pStyle w:val="BodyText"/>
        <w:ind w:leftChars="0" w:left="0" w:right="0"/>
      </w:pPr>
      <w:r>
        <w:t xml:space="preserve">Al fine di attribuire alla </w:t>
      </w:r>
      <w:r>
        <w:rPr>
          <w:i/>
          <w:iCs/>
        </w:rPr>
        <w:t>Società</w:t>
      </w:r>
      <w:r>
        <w:t xml:space="preserve"> la valutazione complessiva, i punteggi parziali determinati dai due moduli precedentemente illustrati sono combinati tra loro. Nel caso in cui il modulo andamentale non fosse alimentato con i rispettivi dati di input, il suo punteggio è classificato come “UN“ - Unrated.</w:t>
      </w:r>
    </w:p>
    <w:p>
      <w:pPr>
        <w:pStyle w:val="BodyText"/>
        <w:ind w:leftChars="0" w:left="0" w:right="0"/>
      </w:pPr>
      <w:r>
        <w:t>La tabella che segue mostra il punteggio integrato così ottenuto (i.e., Valuatazione e Area) e consente di individuare la relativa probabilità di inadempimento.</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keepNext/>
            </w:pP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feb-22</w:t>
            </w:r>
          </w:p>
        </w:tc>
        <w:tc>
          <w:tcPr>
            <w:cnfStyle w:evenVBand="true" w:oddVBand="false" w:firstColumn="false"/>
            <w:tcW w:w="11.434303%" w:type="pct"/>
          </w:tcPr>
          <w:p>
            <w:pPr>
              <w:pStyle w:val="table-level-columns"/>
              <w:ind w:leftChars="0" w:left="0" w:right="0"/>
              <w:keepNext/>
            </w:pPr>
            <w:r>
              <w:t>dic-21</w:t>
            </w:r>
          </w:p>
        </w:tc>
        <w:tc>
          <w:tcPr>
            <w:cnfStyle w:evenVBand="false" w:oddVBand="true" w:firstColumn="false"/>
            <w:tcW w:w="11.434303%" w:type="pct"/>
          </w:tcPr>
          <w:p>
            <w:pPr>
              <w:pStyle w:val="table-level-columns"/>
              <w:ind w:leftChars="0" w:left="0" w:right="0"/>
              <w:keepNext/>
            </w:pPr>
            <w:r>
              <w:t>dic-20</w:t>
            </w:r>
          </w:p>
        </w:tc>
        <w:tc>
          <w:tcPr>
            <w:cnfStyle w:evenVBand="true" w:oddVBand="false" w:firstColumn="false"/>
            <w:tcW w:w="11.434303%" w:type="pct"/>
          </w:tcPr>
          <w:p>
            <w:pPr>
              <w:pStyle w:val="table-level-columns"/>
              <w:ind w:leftChars="0" w:left="0" w:right="0"/>
              <w:keepNext/>
            </w:pPr>
            <w:r>
              <w:t>dic-19</w:t>
            </w:r>
          </w:p>
        </w:tc>
        <w:tc>
          <w:tcPr>
            <w:cnfStyle w:evenVBand="false" w:oddVBand="true" w:firstColumn="false"/>
            <w:tcW w:w="11.434303%"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Mod. economico-finanziario</w:t>
            </w:r>
          </w:p>
        </w:tc>
        <w:tc>
          <w:tcPr>
            <w:cnfStyle w:evenVBand="true" w:oddVBand="false" w:firstColumn="false"/>
            <w:tcW w:w="11.434303%" w:type="pct"/>
          </w:tcPr>
          <w:p>
            <w:pPr>
              <w:pStyle w:val="table-level-1"/>
              <w:ind w:leftChars="0" w:left="0" w:right="0"/>
              <w:keepNext/>
            </w:pPr>
            <w:r>
              <w:t>F2</w:t>
            </w:r>
          </w:p>
        </w:tc>
        <w:tc>
          <w:tcPr>
            <w:cnfStyle w:evenVBand="false" w:oddVBand="true" w:firstColumn="false"/>
            <w:tcW w:w="11.434303%" w:type="pct"/>
          </w:tcPr>
          <w:p>
            <w:pPr>
              <w:pStyle w:val="table-level-1"/>
              <w:ind w:leftChars="0" w:left="0" w:right="0"/>
              <w:keepNext/>
            </w:pPr>
            <w:r>
              <w:t>F5</w:t>
            </w:r>
          </w:p>
        </w:tc>
        <w:tc>
          <w:tcPr>
            <w:cnfStyle w:evenVBand="true" w:oddVBand="false" w:firstColumn="false"/>
            <w:tcW w:w="11.434303%" w:type="pct"/>
          </w:tcPr>
          <w:p>
            <w:pPr>
              <w:pStyle w:val="table-level-1"/>
              <w:ind w:leftChars="0" w:left="0" w:right="0"/>
              <w:keepNext/>
            </w:pPr>
            <w:r>
              <w:t>F5</w:t>
            </w:r>
          </w:p>
        </w:tc>
        <w:tc>
          <w:tcPr>
            <w:cnfStyle w:evenVBand="false" w:oddVBand="true" w:firstColumn="false"/>
            <w:tcW w:w="11.434303%" w:type="pct"/>
          </w:tcPr>
          <w:p>
            <w:pPr>
              <w:pStyle w:val="table-level-1"/>
              <w:ind w:leftChars="0" w:left="0" w:right="0"/>
              <w:keepNext/>
            </w:pPr>
            <w:r>
              <w:t>F4</w:t>
            </w:r>
          </w:p>
        </w:tc>
        <w:tc>
          <w:tcPr>
            <w:cnfStyle w:evenVBand="true" w:oddVBand="false" w:firstColumn="false"/>
            <w:tcW w:w="11.434303%" w:type="pct"/>
          </w:tcPr>
          <w:p>
            <w:pPr>
              <w:pStyle w:val="table-level-1"/>
              <w:ind w:leftChars="0" w:left="0" w:right="0"/>
              <w:keepNext/>
            </w:pPr>
            <w:r>
              <w:t>F5</w:t>
            </w:r>
          </w:p>
        </w:tc>
        <w:tc>
          <w:tcPr>
            <w:cnfStyle w:evenVBand="false" w:oddVBand="true" w:firstColumn="false"/>
            <w:tcW w:w="11.434303%" w:type="pct"/>
          </w:tcPr>
          <w:p>
            <w:pPr>
              <w:pStyle w:val="table-level-1"/>
              <w:ind w:leftChars="0" w:left="0" w:right="0"/>
              <w:keepNext/>
            </w:pPr>
            <w:r>
              <w:t>F4</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Mod. andamentale</w:t>
            </w:r>
          </w:p>
        </w:tc>
        <w:tc>
          <w:tcPr>
            <w:cnfStyle w:evenVBand="true" w:oddVBand="false" w:firstColumn="false"/>
            <w:tcW w:w="11.434303%" w:type="pct"/>
          </w:tcPr>
          <w:p>
            <w:pPr>
              <w:pStyle w:val="table-level-1"/>
              <w:ind w:leftChars="0" w:left="0" w:right="0"/>
              <w:keepNext/>
            </w:pPr>
            <w:r>
              <w:t>UN</w:t>
            </w:r>
          </w:p>
        </w:tc>
        <w:tc>
          <w:tcPr>
            <w:cnfStyle w:evenVBand="false" w:oddVBand="true" w:firstColumn="false"/>
            <w:tcW w:w="11.434303%" w:type="pct"/>
          </w:tcPr>
          <w:p>
            <w:pPr>
              <w:pStyle w:val="table-level-1"/>
              <w:ind w:leftChars="0" w:left="0" w:right="0"/>
              <w:keepNext/>
            </w:pPr>
            <w:r>
              <w:t>A1</w:t>
            </w:r>
          </w:p>
        </w:tc>
        <w:tc>
          <w:tcPr>
            <w:cnfStyle w:evenVBand="true" w:oddVBand="false" w:firstColumn="false"/>
            <w:tcW w:w="11.434303%" w:type="pct"/>
          </w:tcPr>
          <w:p>
            <w:pPr>
              <w:pStyle w:val="table-level-1"/>
              <w:ind w:leftChars="0" w:left="0" w:right="0"/>
              <w:keepNext/>
            </w:pPr>
            <w:r>
              <w:t>A1</w:t>
            </w:r>
          </w:p>
        </w:tc>
        <w:tc>
          <w:tcPr>
            <w:cnfStyle w:evenVBand="false" w:oddVBand="true" w:firstColumn="false"/>
            <w:tcW w:w="11.434303%" w:type="pct"/>
          </w:tcPr>
          <w:p>
            <w:pPr>
              <w:pStyle w:val="table-level-1"/>
              <w:ind w:leftChars="0" w:left="0" w:right="0"/>
              <w:keepNext/>
            </w:pPr>
            <w:r>
              <w:t>A1</w:t>
            </w:r>
          </w:p>
        </w:tc>
        <w:tc>
          <w:tcPr>
            <w:cnfStyle w:evenVBand="true" w:oddVBand="false" w:firstColumn="false"/>
            <w:tcW w:w="11.434303%" w:type="pct"/>
          </w:tcPr>
          <w:p>
            <w:pPr>
              <w:pStyle w:val="table-level-1"/>
              <w:ind w:leftChars="0" w:left="0" w:right="0"/>
              <w:keepNext/>
            </w:pPr>
            <w:r>
              <w:t>A6</w:t>
            </w:r>
          </w:p>
        </w:tc>
        <w:tc>
          <w:tcPr>
            <w:cnfStyle w:evenVBand="false" w:oddVBand="true" w:firstColumn="false"/>
            <w:tcW w:w="11.434303%" w:type="pct"/>
          </w:tcPr>
          <w:p>
            <w:pPr>
              <w:pStyle w:val="table-level-1"/>
              <w:ind w:leftChars="0" w:left="0" w:right="0"/>
              <w:keepNext/>
            </w:pPr>
            <w:r>
              <w:t>UN</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Classe valutazione integrata</w:t>
            </w:r>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2</w:t>
            </w:r>
          </w:p>
        </w:tc>
        <w:tc>
          <w:tcPr>
            <w:cnfStyle w:evenVBand="true" w:oddVBand="false" w:firstColumn="false"/>
            <w:tcW w:w="11.434303%" w:type="pct"/>
          </w:tcPr>
          <w:p>
            <w:pPr>
              <w:pStyle w:val="table-level-1"/>
              <w:ind w:leftChars="0" w:left="0" w:right="0"/>
              <w:keepNext/>
            </w:pPr>
            <w:r>
              <w:t>2</w:t>
            </w:r>
          </w:p>
        </w:tc>
        <w:tc>
          <w:tcPr>
            <w:cnfStyle w:evenVBand="false" w:oddVBand="true" w:firstColumn="false"/>
            <w:tcW w:w="11.434303%" w:type="pct"/>
          </w:tcPr>
          <w:p>
            <w:pPr>
              <w:pStyle w:val="table-level-1"/>
              <w:ind w:leftChars="0" w:left="0" w:right="0"/>
              <w:keepNext/>
            </w:pPr>
            <w:r>
              <w:t>1</w:t>
            </w:r>
          </w:p>
        </w:tc>
        <w:tc>
          <w:tcPr>
            <w:cnfStyle w:evenVBand="true" w:oddVBand="false" w:firstColumn="false"/>
            <w:tcW w:w="11.434303%" w:type="pct"/>
          </w:tcPr>
          <w:p>
            <w:pPr>
              <w:pStyle w:val="table-level-1"/>
              <w:ind w:leftChars="0" w:left="0" w:right="0"/>
              <w:keepNext/>
            </w:pPr>
            <w:r>
              <w:t>5</w:t>
            </w:r>
          </w:p>
        </w:tc>
        <w:tc>
          <w:tcPr>
            <w:cnfStyle w:evenVBand="false" w:oddVBand="true" w:firstColumn="false"/>
            <w:tcW w:w="11.434303%" w:type="pct"/>
          </w:tcPr>
          <w:p>
            <w:pPr>
              <w:pStyle w:val="table-level-1"/>
              <w:ind w:leftChars="0" w:left="0" w:right="0"/>
              <w:keepNext/>
            </w:pPr>
            <w:r>
              <w:t>4</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Area</w:t>
            </w:r>
          </w:p>
        </w:tc>
        <w:tc>
          <w:tcPr>
            <w:cnfStyle w:evenVBand="true" w:oddVBand="false" w:firstColumn="false"/>
            <w:tcW w:w="11.434303%" w:type="pct"/>
          </w:tcPr>
          <w:p>
            <w:pPr>
              <w:pStyle w:val="table-level-1"/>
              <w:ind w:leftChars="0" w:left="0" w:right="0"/>
              <w:keepNext/>
            </w:pPr>
            <w:r>
              <w:t>Solvibilità</w:t>
            </w:r>
          </w:p>
        </w:tc>
        <w:tc>
          <w:tcPr>
            <w:cnfStyle w:evenVBand="false" w:oddVBand="true" w:firstColumn="false"/>
            <w:tcW w:w="11.434303%" w:type="pct"/>
          </w:tcPr>
          <w:p>
            <w:pPr>
              <w:pStyle w:val="table-level-1"/>
              <w:ind w:leftChars="0" w:left="0" w:right="0"/>
              <w:keepNext/>
            </w:pPr>
            <w:r>
              <w:t>Solvibilità</w:t>
            </w:r>
          </w:p>
        </w:tc>
        <w:tc>
          <w:tcPr>
            <w:cnfStyle w:evenVBand="true" w:oddVBand="false" w:firstColumn="false"/>
            <w:tcW w:w="11.434303%" w:type="pct"/>
          </w:tcPr>
          <w:p>
            <w:pPr>
              <w:pStyle w:val="table-level-1"/>
              <w:ind w:leftChars="0" w:left="0" w:right="0"/>
              <w:keepNext/>
            </w:pPr>
            <w:r>
              <w:t>Solvibilità</w:t>
            </w:r>
          </w:p>
        </w:tc>
        <w:tc>
          <w:tcPr>
            <w:cnfStyle w:evenVBand="false" w:oddVBand="true" w:firstColumn="false"/>
            <w:tcW w:w="11.434303%" w:type="pct"/>
          </w:tcPr>
          <w:p>
            <w:pPr>
              <w:pStyle w:val="table-level-1"/>
              <w:ind w:leftChars="0" w:left="0" w:right="0"/>
              <w:keepNext/>
            </w:pPr>
            <w:r>
              <w:t>Sicurezza</w:t>
            </w:r>
          </w:p>
        </w:tc>
        <w:tc>
          <w:tcPr>
            <w:cnfStyle w:evenVBand="true" w:oddVBand="false" w:firstColumn="false"/>
            <w:tcW w:w="11.434303%" w:type="pct"/>
          </w:tcPr>
          <w:p>
            <w:pPr>
              <w:pStyle w:val="table-level-1"/>
              <w:ind w:leftChars="0" w:left="0" w:right="0"/>
              <w:keepNext/>
            </w:pPr>
            <w:r>
              <w:t>Vulnerabilità</w:t>
            </w:r>
          </w:p>
        </w:tc>
        <w:tc>
          <w:tcPr>
            <w:cnfStyle w:evenVBand="false" w:oddVBand="true" w:firstColumn="false"/>
            <w:tcW w:w="11.434303%" w:type="pct"/>
          </w:tcPr>
          <w:p>
            <w:pPr>
              <w:pStyle w:val="table-level-1"/>
              <w:ind w:leftChars="0" w:left="0" w:right="0"/>
              <w:keepNext/>
            </w:pPr>
            <w:r>
              <w:t>Solvibilità</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Probabilità d’inadempimento</w:t>
            </w:r>
          </w:p>
        </w:tc>
        <w:tc>
          <w:tcPr>
            <w:cnfStyle w:evenVBand="true" w:oddVBand="false" w:firstColumn="false"/>
            <w:tcW w:w="11.434303%" w:type="pct"/>
          </w:tcPr>
          <w:p>
            <w:pPr>
              <w:pStyle w:val="table-level-1"/>
              <w:ind w:leftChars="0" w:left="0" w:right="0"/>
              <w:keepNext/>
            </w:pPr>
            <w:r>
              <w:t>0,33%</w:t>
            </w:r>
          </w:p>
        </w:tc>
        <w:tc>
          <w:tcPr>
            <w:cnfStyle w:evenVBand="false" w:oddVBand="true" w:firstColumn="false"/>
            <w:tcW w:w="11.434303%" w:type="pct"/>
          </w:tcPr>
          <w:p>
            <w:pPr>
              <w:pStyle w:val="table-level-1"/>
              <w:ind w:leftChars="0" w:left="0" w:right="0"/>
              <w:keepNext/>
            </w:pPr>
            <w:r>
              <w:t>0,33%</w:t>
            </w:r>
          </w:p>
        </w:tc>
        <w:tc>
          <w:tcPr>
            <w:cnfStyle w:evenVBand="true" w:oddVBand="false" w:firstColumn="false"/>
            <w:tcW w:w="11.434303%" w:type="pct"/>
          </w:tcPr>
          <w:p>
            <w:pPr>
              <w:pStyle w:val="table-level-1"/>
              <w:ind w:leftChars="0" w:left="0" w:right="0"/>
              <w:keepNext/>
            </w:pPr>
            <w:r>
              <w:t>0,33%</w:t>
            </w:r>
          </w:p>
        </w:tc>
        <w:tc>
          <w:tcPr>
            <w:cnfStyle w:evenVBand="false" w:oddVBand="true" w:firstColumn="false"/>
            <w:tcW w:w="11.434303%" w:type="pct"/>
          </w:tcPr>
          <w:p>
            <w:pPr>
              <w:pStyle w:val="table-level-1"/>
              <w:ind w:leftChars="0" w:left="0" w:right="0"/>
              <w:keepNext/>
            </w:pPr>
            <w:r>
              <w:t>0,12%</w:t>
            </w:r>
          </w:p>
        </w:tc>
        <w:tc>
          <w:tcPr>
            <w:cnfStyle w:evenVBand="true" w:oddVBand="false" w:firstColumn="false"/>
            <w:tcW w:w="11.434303%" w:type="pct"/>
          </w:tcPr>
          <w:p>
            <w:pPr>
              <w:pStyle w:val="table-level-1"/>
              <w:ind w:leftChars="0" w:left="0" w:right="0"/>
              <w:keepNext/>
            </w:pPr>
            <w:r>
              <w:t>1,61%</w:t>
            </w:r>
          </w:p>
        </w:tc>
        <w:tc>
          <w:tcPr>
            <w:cnfStyle w:evenVBand="false" w:oddVBand="true" w:firstColumn="false"/>
            <w:tcW w:w="11.434303%" w:type="pct"/>
          </w:tcPr>
          <w:p>
            <w:pPr>
              <w:pStyle w:val="table-level-1"/>
              <w:ind w:leftChars="0" w:left="0" w:right="0"/>
              <w:keepNext/>
            </w:pPr>
            <w:r>
              <w:t>1,02%</w:t>
            </w:r>
          </w:p>
        </w:tc>
      </w:tr>
    </w:tbl>
    <w:p>
      <w:pPr>
        <w:pStyle w:val="TableBottomMargin"/>
      </w:pPr>
    </w:p>
    <w:p>
      <w:pPr>
        <w:pStyle w:val="BodyText"/>
        <w:ind w:leftChars="0" w:left="0" w:right="0"/>
      </w:pPr>
      <w:r>
        <w:t xml:space="preserve">La stima aggiornata della probabilità di inadempimento della </w:t>
      </w:r>
      <w:r>
        <w:rPr>
          <w:i/>
          <w:iCs/>
        </w:rPr>
        <w:t>Società</w:t>
      </w:r>
      <w:r>
        <w:t xml:space="preserve"> è stata elaborata utilizzando unicamente i dati contabili al 31 dicembre 2022 e ha offerto un riscontro </w:t>
      </w:r>
      <w:r>
        <w:rPr>
          <w:b/>
          <w:bCs/>
        </w:rPr>
        <w:t>positivo</w:t>
      </w:r>
      <w:r>
        <w:t xml:space="preserve">. La </w:t>
      </w:r>
      <w:r>
        <w:rPr>
          <w:i/>
          <w:iCs/>
        </w:rPr>
        <w:t>Società</w:t>
      </w:r>
      <w:r>
        <w:t xml:space="preserve"> ha mostrato un profilo economico adeguato, che le consente di contenere il suo rischio di credito.</w:t>
      </w:r>
    </w:p>
    <w:p>
      <w:pPr>
        <w:pStyle w:val="BodyText"/>
        <w:ind w:leftChars="0" w:left="0" w:right="0"/>
      </w:pPr>
      <w:r>
        <w:t xml:space="preserve">Sulla base dei risultati della valutazione del merito creditizio, la seguente tabella presenta le garanzie dirette concedibili alla </w:t>
      </w:r>
      <w:r>
        <w:rPr>
          <w:i/>
          <w:iCs/>
        </w:rPr>
        <w:t>Società</w:t>
      </w:r>
      <w:r>
        <w:t xml:space="preserve"> dal Fondo di Garanzia, a fronte di un importo massimo garantibile di € 2,5 milioni:</w:t>
      </w:r>
    </w:p>
    <w:tbl>
      <w:tblPr>
        <w:tblStyle w:val="table-custom"/>
        <w:tblW w:w="100.000000%" w:type="pct"/>
        <w:tblInd w:w="0" w:type="dxa"/>
        <w:tblLook w:noHBand="false" w:noVBand="false" w:lastRow="false" w:lastColumn="false" w:firstRow="true" w:firstColumn="false"/>
      </w:tblPr>
      <w:tblGrid>
        <w:gridCol w:w="3201"/>
        <w:gridCol w:w="1166"/>
        <w:gridCol w:w="1166"/>
        <w:gridCol w:w="1166"/>
        <w:gridCol w:w="1166"/>
        <w:gridCol w:w="1166"/>
        <w:gridCol w:w="1166"/>
      </w:tblGrid>
      <w:tr>
        <w:trPr>
          <w:cnfStyle w:evenHBand="false" w:oddHBand="true" w:firstRow="true"/>
          <w:cantSplit/>
          <w:tblHeader/>
        </w:trPr>
        <w:tc>
          <w:tcPr>
            <w:cnfStyle w:evenVBand="false" w:oddVBand="true" w:firstColumn="false"/>
            <w:tcW w:w="31.394183%" w:type="pct"/>
          </w:tcPr>
          <w:p>
            <w:pPr>
              <w:keepNext/>
            </w:pPr>
          </w:p>
        </w:tc>
        <w:tc>
          <w:tcPr>
            <w:cnfStyle w:evenVBand="true" w:oddVBand="false" w:firstColumn="false"/>
            <w:tcW w:w="11.434303%" w:type="pct"/>
          </w:tcPr>
          <w:p>
            <w:pPr>
              <w:pStyle w:val="table-level-columns"/>
              <w:ind w:leftChars="0" w:left="0" w:right="0"/>
              <w:keepNext/>
            </w:pPr>
            <w:r>
              <w:t>dic-22</w:t>
            </w:r>
          </w:p>
        </w:tc>
        <w:tc>
          <w:tcPr>
            <w:cnfStyle w:evenVBand="false" w:oddVBand="true" w:firstColumn="false"/>
            <w:tcW w:w="11.434303%" w:type="pct"/>
          </w:tcPr>
          <w:p>
            <w:pPr>
              <w:pStyle w:val="table-level-columns"/>
              <w:ind w:leftChars="0" w:left="0" w:right="0"/>
              <w:keepNext/>
            </w:pPr>
            <w:r>
              <w:t>feb-22</w:t>
            </w:r>
          </w:p>
        </w:tc>
        <w:tc>
          <w:tcPr>
            <w:cnfStyle w:evenVBand="true" w:oddVBand="false" w:firstColumn="false"/>
            <w:tcW w:w="11.434303%" w:type="pct"/>
          </w:tcPr>
          <w:p>
            <w:pPr>
              <w:pStyle w:val="table-level-columns"/>
              <w:ind w:leftChars="0" w:left="0" w:right="0"/>
              <w:keepNext/>
            </w:pPr>
            <w:r>
              <w:t>dic-21</w:t>
            </w:r>
          </w:p>
        </w:tc>
        <w:tc>
          <w:tcPr>
            <w:cnfStyle w:evenVBand="false" w:oddVBand="true" w:firstColumn="false"/>
            <w:tcW w:w="11.434303%" w:type="pct"/>
          </w:tcPr>
          <w:p>
            <w:pPr>
              <w:pStyle w:val="table-level-columns"/>
              <w:ind w:leftChars="0" w:left="0" w:right="0"/>
              <w:keepNext/>
            </w:pPr>
            <w:r>
              <w:t>dic-20</w:t>
            </w:r>
          </w:p>
        </w:tc>
        <w:tc>
          <w:tcPr>
            <w:cnfStyle w:evenVBand="true" w:oddVBand="false" w:firstColumn="false"/>
            <w:tcW w:w="11.434303%" w:type="pct"/>
          </w:tcPr>
          <w:p>
            <w:pPr>
              <w:pStyle w:val="table-level-columns"/>
              <w:ind w:leftChars="0" w:left="0" w:right="0"/>
              <w:keepNext/>
            </w:pPr>
            <w:r>
              <w:t>dic-19</w:t>
            </w:r>
          </w:p>
        </w:tc>
        <w:tc>
          <w:tcPr>
            <w:cnfStyle w:evenVBand="false" w:oddVBand="true" w:firstColumn="false"/>
            <w:tcW w:w="11.434303%" w:type="pct"/>
          </w:tcPr>
          <w:p>
            <w:pPr>
              <w:pStyle w:val="table-level-columns"/>
              <w:ind w:leftChars="0" w:left="0" w:right="0"/>
              <w:keepNext/>
            </w:pPr>
            <w:r>
              <w:t>dic-18</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Finanziamenti fino a 36 mesi</w:t>
            </w:r>
          </w:p>
        </w:tc>
        <w:tc>
          <w:tcPr>
            <w:cnfStyle w:evenVBand="true" w:oddVBand="false" w:firstColumn="false"/>
            <w:tcW w:w="11.434303%" w:type="pct"/>
          </w:tcPr>
          <w:p>
            <w:pPr>
              <w:pStyle w:val="table-level-1"/>
              <w:ind w:leftChars="0" w:left="0" w:right="0"/>
              <w:keepNext/>
            </w:pPr>
            <w:r>
              <w:t>40%</w:t>
            </w:r>
          </w:p>
        </w:tc>
        <w:tc>
          <w:tcPr>
            <w:cnfStyle w:evenVBand="false" w:oddVBand="true" w:firstColumn="false"/>
            <w:tcW w:w="11.434303%" w:type="pct"/>
          </w:tcPr>
          <w:p>
            <w:pPr>
              <w:pStyle w:val="table-level-1"/>
              <w:ind w:leftChars="0" w:left="0" w:right="0"/>
              <w:keepNext/>
            </w:pPr>
            <w:r>
              <w:t>40%</w:t>
            </w:r>
          </w:p>
        </w:tc>
        <w:tc>
          <w:tcPr>
            <w:cnfStyle w:evenVBand="true" w:oddVBand="false" w:firstColumn="false"/>
            <w:tcW w:w="11.434303%" w:type="pct"/>
          </w:tcPr>
          <w:p>
            <w:pPr>
              <w:pStyle w:val="table-level-1"/>
              <w:ind w:leftChars="0" w:left="0" w:right="0"/>
              <w:keepNext/>
            </w:pPr>
            <w:r>
              <w:t>40%</w:t>
            </w:r>
          </w:p>
        </w:tc>
        <w:tc>
          <w:tcPr>
            <w:cnfStyle w:evenVBand="false" w:oddVBand="true" w:firstColumn="false"/>
            <w:tcW w:w="11.434303%" w:type="pct"/>
          </w:tcPr>
          <w:p>
            <w:pPr>
              <w:pStyle w:val="table-level-1"/>
              <w:ind w:leftChars="0" w:left="0" w:right="0"/>
              <w:keepNext/>
            </w:pPr>
            <w:r>
              <w:t>30%</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40%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Finanziamento oltre i 36 mesi</w:t>
            </w:r>
          </w:p>
        </w:tc>
        <w:tc>
          <w:tcPr>
            <w:cnfStyle w:evenVBand="true" w:oddVBand="false" w:firstColumn="false"/>
            <w:tcW w:w="11.434303%" w:type="pct"/>
          </w:tcPr>
          <w:p>
            <w:pPr>
              <w:pStyle w:val="table-level-1"/>
              <w:ind w:leftChars="0" w:left="0" w:right="0"/>
              <w:keepNext/>
            </w:pPr>
            <w:r>
              <w:t>60%</w:t>
            </w:r>
          </w:p>
        </w:tc>
        <w:tc>
          <w:tcPr>
            <w:cnfStyle w:evenVBand="false" w:oddVBand="true" w:firstColumn="false"/>
            <w:tcW w:w="11.434303%" w:type="pct"/>
          </w:tcPr>
          <w:p>
            <w:pPr>
              <w:pStyle w:val="table-level-1"/>
              <w:ind w:leftChars="0" w:left="0" w:right="0"/>
              <w:keepNext/>
            </w:pPr>
            <w:r>
              <w:t>60%</w:t>
            </w:r>
          </w:p>
        </w:tc>
        <w:tc>
          <w:tcPr>
            <w:cnfStyle w:evenVBand="true" w:oddVBand="false" w:firstColumn="false"/>
            <w:tcW w:w="11.434303%" w:type="pct"/>
          </w:tcPr>
          <w:p>
            <w:pPr>
              <w:pStyle w:val="table-level-1"/>
              <w:ind w:leftChars="0" w:left="0" w:right="0"/>
              <w:keepNext/>
            </w:pPr>
            <w:r>
              <w:t>60%</w:t>
            </w:r>
          </w:p>
        </w:tc>
        <w:tc>
          <w:tcPr>
            <w:cnfStyle w:evenVBand="false" w:oddVBand="true" w:firstColumn="false"/>
            <w:tcW w:w="11.434303%" w:type="pct"/>
          </w:tcPr>
          <w:p>
            <w:pPr>
              <w:pStyle w:val="table-level-1"/>
              <w:ind w:leftChars="0" w:left="0" w:right="0"/>
              <w:keepNext/>
            </w:pPr>
            <w:r>
              <w:t>50%</w:t>
            </w:r>
          </w:p>
        </w:tc>
        <w:tc>
          <w:tcPr>
            <w:cnfStyle w:evenVBand="true" w:oddVBand="false" w:firstColumn="false"/>
            <w:tcW w:w="11.434303%" w:type="pct"/>
          </w:tcPr>
          <w:p>
            <w:pPr>
              <w:pStyle w:val="table-level-1"/>
              <w:ind w:leftChars="0" w:left="0" w:right="0"/>
              <w:keepNext/>
            </w:pPr>
            <w:r>
              <w:t>70%</w:t>
            </w:r>
          </w:p>
        </w:tc>
        <w:tc>
          <w:tcPr>
            <w:cnfStyle w:evenVBand="false" w:oddVBand="true" w:firstColumn="false"/>
            <w:tcW w:w="11.434303%" w:type="pct"/>
          </w:tcPr>
          <w:p>
            <w:pPr>
              <w:pStyle w:val="table-level-1"/>
              <w:ind w:leftChars="0" w:left="0" w:right="0"/>
              <w:keepNext/>
            </w:pPr>
            <w:r>
              <w:t>60%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Finanziamenti a medio-lungo termine senza piano di ammortamento</w:t>
            </w:r>
          </w:p>
        </w:tc>
        <w:tc>
          <w:tcPr>
            <w:cnfStyle w:evenVBand="true" w:oddVBand="false" w:firstColumn="false"/>
            <w:tcW w:w="11.434303%" w:type="pct"/>
          </w:tcPr>
          <w:p>
            <w:pPr>
              <w:pStyle w:val="table-level-1"/>
              <w:ind w:leftChars="0" w:left="0" w:right="0"/>
              <w:keepNext/>
            </w:pPr>
            <w:r>
              <w:t>30%</w:t>
            </w:r>
          </w:p>
        </w:tc>
        <w:tc>
          <w:tcPr>
            <w:cnfStyle w:evenVBand="false" w:oddVBand="true" w:firstColumn="false"/>
            <w:tcW w:w="11.434303%" w:type="pct"/>
          </w:tcPr>
          <w:p>
            <w:pPr>
              <w:pStyle w:val="table-level-1"/>
              <w:ind w:leftChars="0" w:left="0" w:right="0"/>
              <w:keepNext/>
            </w:pPr>
            <w:r>
              <w:t>30%</w:t>
            </w:r>
          </w:p>
        </w:tc>
        <w:tc>
          <w:tcPr>
            <w:cnfStyle w:evenVBand="true" w:oddVBand="false" w:firstColumn="false"/>
            <w:tcW w:w="11.434303%" w:type="pct"/>
          </w:tcPr>
          <w:p>
            <w:pPr>
              <w:pStyle w:val="table-level-1"/>
              <w:ind w:leftChars="0" w:left="0" w:right="0"/>
              <w:keepNext/>
            </w:pPr>
            <w:r>
              <w:t>30%</w:t>
            </w:r>
          </w:p>
        </w:tc>
        <w:tc>
          <w:tcPr>
            <w:cnfStyle w:evenVBand="false" w:oddVBand="true" w:firstColumn="false"/>
            <w:tcW w:w="11.434303%" w:type="pct"/>
          </w:tcPr>
          <w:p>
            <w:pPr>
              <w:pStyle w:val="table-level-1"/>
              <w:ind w:leftChars="0" w:left="0" w:right="0"/>
              <w:keepNext/>
            </w:pPr>
            <w:r>
              <w:t>30%</w:t>
            </w:r>
          </w:p>
        </w:tc>
        <w:tc>
          <w:tcPr>
            <w:cnfStyle w:evenVBand="true" w:oddVBand="false" w:firstColumn="false"/>
            <w:tcW w:w="11.434303%" w:type="pct"/>
          </w:tcPr>
          <w:p>
            <w:pPr>
              <w:pStyle w:val="table-level-1"/>
              <w:ind w:leftChars="0" w:left="0" w:right="0"/>
              <w:keepNext/>
            </w:pPr>
            <w:r>
              <w:t>30%</w:t>
            </w:r>
          </w:p>
        </w:tc>
        <w:tc>
          <w:tcPr>
            <w:cnfStyle w:evenVBand="false" w:oddVBand="true" w:firstColumn="false"/>
            <w:tcW w:w="11.434303%" w:type="pct"/>
          </w:tcPr>
          <w:p>
            <w:pPr>
              <w:pStyle w:val="table-level-1"/>
              <w:ind w:leftChars="0" w:left="0" w:right="0"/>
              <w:keepNext/>
            </w:pPr>
            <w:r>
              <w:t>30%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Finanziamento del rischio</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50%</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50%</w:t>
            </w:r>
          </w:p>
        </w:tc>
        <w:tc>
          <w:tcPr>
            <w:cnfStyle w:evenVBand="true" w:oddVBand="false" w:firstColumn="false"/>
            <w:tcW w:w="11.434303%" w:type="pct"/>
          </w:tcPr>
          <w:p>
            <w:pPr>
              <w:pStyle w:val="table-level-1"/>
              <w:ind w:leftChars="0" w:left="0" w:right="0"/>
              <w:keepNext/>
            </w:pPr>
            <w:r>
              <w:t>50%</w:t>
            </w:r>
          </w:p>
        </w:tc>
        <w:tc>
          <w:tcPr>
            <w:cnfStyle w:evenVBand="false" w:oddVBand="true" w:firstColumn="false"/>
            <w:tcW w:w="11.434303%" w:type="pct"/>
          </w:tcPr>
          <w:p>
            <w:pPr>
              <w:pStyle w:val="table-level-1"/>
              <w:ind w:leftChars="0" w:left="0" w:right="0"/>
              <w:keepNext/>
            </w:pPr>
            <w:r>
              <w:t>50%</w:t>
            </w:r>
          </w:p>
        </w:tc>
      </w:tr>
      <w:tr>
        <w:trPr>
          <w:cnfStyle w:evenHBand="false" w:oddHBand="true" w:firstRow="false"/>
          <w:cantSplit/>
        </w:trPr>
        <w:tc>
          <w:tcPr>
            <w:cnfStyle w:evenVBand="false" w:oddVBand="true" w:firstColumn="false"/>
            <w:tcW w:w="31.394183%" w:type="pct"/>
          </w:tcPr>
          <w:p>
            <w:pPr>
              <w:pStyle w:val="index-table-level-1"/>
              <w:ind w:leftChars="0" w:left="0" w:right="0"/>
              <w:keepNext/>
            </w:pPr>
            <w:r>
              <w:t>Operazioni finanziarie a fronte di investimenti</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r>
      <w:tr>
        <w:trPr>
          <w:cnfStyle w:evenHBand="true" w:oddHBand="false" w:firstRow="false"/>
          <w:cantSplit/>
        </w:trPr>
        <w:tc>
          <w:tcPr>
            <w:cnfStyle w:evenVBand="false" w:oddVBand="true" w:firstColumn="false"/>
            <w:tcW w:w="31.394183%" w:type="pct"/>
          </w:tcPr>
          <w:p>
            <w:pPr>
              <w:pStyle w:val="index-table-level-1"/>
              <w:ind w:leftChars="0" w:left="0" w:right="0"/>
              <w:keepNext/>
            </w:pPr>
            <w:r>
              <w:t>Operazioni finanziarie di importo ridotto</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c>
          <w:tcPr>
            <w:cnfStyle w:evenVBand="true" w:oddVBand="false" w:firstColumn="false"/>
            <w:tcW w:w="11.434303%" w:type="pct"/>
          </w:tcPr>
          <w:p>
            <w:pPr>
              <w:pStyle w:val="table-level-1"/>
              <w:ind w:leftChars="0" w:left="0" w:right="0"/>
              <w:keepNext/>
            </w:pPr>
            <w:r>
              <w:t>80%</w:t>
            </w:r>
          </w:p>
        </w:tc>
        <w:tc>
          <w:tcPr>
            <w:cnfStyle w:evenVBand="false" w:oddVBand="true" w:firstColumn="false"/>
            <w:tcW w:w="11.434303%" w:type="pct"/>
          </w:tcPr>
          <w:p>
            <w:pPr>
              <w:pStyle w:val="table-level-1"/>
              <w:ind w:leftChars="0" w:left="0" w:right="0"/>
              <w:keepNext/>
            </w:pPr>
            <w:r>
              <w:t>80%</w:t>
            </w:r>
          </w:p>
        </w:tc>
      </w:tr>
    </w:tbl>
    <w:bookmarkEnd w:id="680"/>
    <w:bookmarkEnd w:id="675"/>
    <w:bookmarkEnd w:id="676"/>
    <w:bookmarkEnd w:id="677"/>
    <w:bookmarkStart w:id="681" w:name="_6b308dce736c416fca35b868bcbe01bd"/>
    <w:bookmarkStart w:id="682" w:name="_f8d826d427e3a8bf8a0fbf57e47dd15b"/>
    <w:bookmarkStart w:id="683" w:name="_b6ada2cbb84124ee1ef860f5e2705505"/>
    <w:bookmarkStart w:id="684" w:name="_5f50f9c3fb17d5a3548d61a1b43cc978"/>
    <w:p>
      <w:pPr>
        <w:pStyle w:val="Heading1"/>
        <w:keepNext/>
        <w:pageBreakBefore w:val="1"/>
      </w:pPr>
      <w:r>
        <w:t>Formulario</w:t>
      </w:r>
    </w:p>
    <w:p>
      <w:pPr>
        <w:pStyle w:val="BodyText"/>
        <w:ind w:leftChars="0" w:left="0" w:right="0"/>
      </w:pPr>
      <w:r>
        <w:t>Questa sezione contiene un elenco delle formule utilizzate per il calcolo degli indici illustrati all’interno delle sezioni relative agli indici di performance e agli indici della crisi.</w:t>
      </w:r>
    </w:p>
    <w:bookmarkStart w:id="685" w:name="_1906148472c60dceaf733904f302abc1"/>
    <w:p>
      <w:pPr>
        <w:pStyle w:val="Heading2"/>
        <w:keepNext/>
      </w:pPr>
      <w:r>
        <w:t>Indici di performance</w:t>
      </w:r>
    </w:p>
    <w:bookmarkStart w:id="686" w:name="_1fc6968ac3b0c8f6b163ee0e8b0bb047"/>
    <w:p>
      <w:pPr>
        <w:pStyle w:val="Heading3"/>
        <w:keepNext/>
      </w:pPr>
      <w:r>
        <w:t>Indici di solidità</w:t>
      </w:r>
    </w:p>
    <w:bookmarkStart w:id="687" w:name="_ecd45595e329e26aca7237fb48ec14d1"/>
    <w:bookmarkStart w:id="688" w:name="_0a1ca1a0624c0378033ba4d72b89e4ba"/>
    <w:p>
      <w:pPr>
        <w:pStyle w:val="Heading4"/>
        <w:keepNext/>
      </w:pPr>
      <w:r>
        <w:t>Indice di indebitamento</w:t>
      </w:r>
    </w:p>
    <w:p>
      <w:pPr>
        <w:pStyle w:val="BodyText"/>
        <w:ind w:leftChars="0" w:left="0" w:right="0"/>
      </w:pPr>
      <w:r>
        <w:t>L'</w:t>
      </w:r>
      <w:hyperlink xmlns:r="http://schemas.openxmlformats.org/officeDocument/2006/relationships" r:id="rId198">
        <w:r>
          <w:rPr>
            <w:rStyle w:val="Hyperlink"/>
          </w:rPr>
          <w:t>indice di indebitamento</w:t>
        </w:r>
      </w:hyperlink>
      <w:r>
        <w:t xml:space="preserve"> permette di valutare il rapporto tra i debiti complessivi della </w:t>
      </w:r>
      <w:r>
        <w:rPr>
          <w:i/>
          <w:iCs/>
        </w:rPr>
        <w:t>Società</w:t>
      </w:r>
      <w:r>
        <w:t xml:space="preserve"> e il suo patrimonio netto. L’indice fornisce un’indicazione chiara della struttura finanziaria della </w:t>
      </w:r>
      <w:r>
        <w:rPr>
          <w:i/>
          <w:iCs/>
        </w:rPr>
        <w:t>Società</w:t>
      </w:r>
      <w:r>
        <w:t>, cioè quanto è finanziata attraverso debiti rispetto al capitale proprio.</w:t>
      </w:r>
    </w:p>
    <w:p>
      <w:pPr>
        <w:pStyle w:val="MathBlock"/>
        <w:ind w:leftChars="0" w:left="0" w:right="0"/>
      </w:pPr>
      <m:oMathPara xmlns:m="http://schemas.openxmlformats.org/officeDocument/2006/math">
        <m:oMathParaPr>
          <m:jc m:val="center"/>
        </m:oMathParaPr>
        <m:oMath>
          <m:r>
            <m:t>i_\textrm{ indebitamento } = \frac{ D }{ PN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D</m:t>
        </m:r>
      </m:oMath>
      <w:r>
        <w:t>: Debiti</w:t>
      </w:r>
    </w:p>
    <w:p>
      <w:pPr>
        <w:pStyle w:val="ListBullet"/>
        <w:numPr>
          <w:ilvl w:val="0"/>
          <w:numId w:val="2"/>
        </w:numPr>
        <w:ind w:leftChars="0" w:left="480" w:right="0"/>
      </w:pPr>
      <m:oMath xmlns:m="http://schemas.openxmlformats.org/officeDocument/2006/math">
        <m:r>
          <m:t>PN</m:t>
        </m:r>
      </m:oMath>
      <w:r>
        <w:t>: Patrimonio netto</w:t>
      </w:r>
    </w:p>
    <w:p>
      <w:pPr>
        <w:pStyle w:val="BodyText"/>
        <w:ind w:leftChars="0" w:left="0" w:right="0"/>
      </w:pPr>
      <w:r>
        <w:t xml:space="preserve">Il suo valore ottimale può variare in base alle specifiche caratteristiche del settore in cui la </w:t>
      </w:r>
      <w:r>
        <w:rPr>
          <w:i/>
          <w:iCs/>
        </w:rPr>
        <w:t>Società</w:t>
      </w:r>
      <w:r>
        <w:t xml:space="preserve"> opera. In settori ad alta crescita o ad alto potenziale di profitto, un indice di indebitamento più elevato può essere considerato appropriato, poiché può consentire di sfruttare le opportunità di crescita. Tuttavia, in settori più stabili o con maggiori rischi finanziari, un indice di indebitamento moderato può essere preferibile, indicando una gestione finanziaria più prudente. Pertanto, una valutazione accurata richiede una comprensione approfondita delle dinamiche specifiche della </w:t>
      </w:r>
      <w:r>
        <w:rPr>
          <w:i/>
          <w:iCs/>
        </w:rPr>
        <w:t>Società</w:t>
      </w:r>
      <w:r>
        <w:t xml:space="preserve"> e del settore in cui opera.</w:t>
      </w:r>
    </w:p>
    <w:bookmarkEnd w:id="687"/>
    <w:bookmarkEnd w:id="688"/>
    <w:bookmarkStart w:id="689" w:name="_f9211a8f504e83f1e643246072bf8374"/>
    <w:bookmarkStart w:id="690" w:name="_47f38d0b90245a930987e7f4f84a9a9a"/>
    <w:p>
      <w:pPr>
        <w:pStyle w:val="Heading4"/>
        <w:keepNext/>
      </w:pPr>
      <w:r>
        <w:t>Indice di indebitamento oneroso</w:t>
      </w:r>
    </w:p>
    <w:p>
      <w:pPr>
        <w:pStyle w:val="BodyText"/>
        <w:ind w:leftChars="0" w:left="0" w:right="0"/>
      </w:pPr>
      <w:r>
        <w:t>L'</w:t>
      </w:r>
      <w:hyperlink xmlns:r="http://schemas.openxmlformats.org/officeDocument/2006/relationships" r:id="rId199">
        <w:r>
          <w:rPr>
            <w:rStyle w:val="Hyperlink"/>
          </w:rPr>
          <w:t>indice di indebitamento oneroso</w:t>
        </w:r>
      </w:hyperlink>
      <w:r>
        <w:t xml:space="preserve"> consente di valutare il rapporto tra i debiti finanziari e i mezzi propri della </w:t>
      </w:r>
      <w:r>
        <w:rPr>
          <w:i/>
          <w:iCs/>
        </w:rPr>
        <w:t>Società</w:t>
      </w:r>
      <w:r>
        <w:t xml:space="preserve">. L’indice si concentra esclusivamente sulla frazione di debiti di natura finanziaria, cioè quei debiti che hanno un’impronta finanziaria, come obbligazioni emesse, prestiti bancari o altre forme di finanziamento di capitale esterno. Il suo obiettivo è valutare quanto la </w:t>
      </w:r>
      <w:r>
        <w:rPr>
          <w:i/>
          <w:iCs/>
        </w:rPr>
        <w:t>Società</w:t>
      </w:r>
      <w:r>
        <w:t xml:space="preserve"> dipenda da finanziamenti esterni per sostenere le sue attività e se sia in grado di far fronte a tali obblighi finanziari utilizzando i mezzi propri.</w:t>
      </w:r>
    </w:p>
    <w:p>
      <w:pPr>
        <w:pStyle w:val="MathBlock"/>
        <w:ind w:leftChars="0" w:left="0" w:right="0"/>
      </w:pPr>
      <m:oMathPara xmlns:m="http://schemas.openxmlformats.org/officeDocument/2006/math">
        <m:oMathParaPr>
          <m:jc m:val="center"/>
        </m:oMathParaPr>
        <m:oMath>
          <m:r>
            <m:t>i_\textrm{ indebitamento oneroso } = \frac{ D_\textrm{ finanziari } }{ PN+ F_\textrm{ soci infruttiferi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D_\textrm{ finanziari }</m:t>
        </m:r>
      </m:oMath>
      <w:r>
        <w:t>: Debiti di natura finanziaria</w:t>
      </w:r>
    </w:p>
    <w:p>
      <w:pPr>
        <w:pStyle w:val="ListBullet"/>
        <w:numPr>
          <w:ilvl w:val="0"/>
          <w:numId w:val="2"/>
        </w:numPr>
        <w:ind w:leftChars="0" w:left="480" w:right="0"/>
      </w:pPr>
      <m:oMath xmlns:m="http://schemas.openxmlformats.org/officeDocument/2006/math">
        <m:r>
          <m:t>PN</m:t>
        </m:r>
      </m:oMath>
      <w:r>
        <w:t>: Patrimonio netto</w:t>
      </w:r>
    </w:p>
    <w:p>
      <w:pPr>
        <w:pStyle w:val="ListBullet"/>
        <w:numPr>
          <w:ilvl w:val="0"/>
          <w:numId w:val="2"/>
        </w:numPr>
        <w:ind w:leftChars="0" w:left="480" w:right="0"/>
      </w:pPr>
      <m:oMath xmlns:m="http://schemas.openxmlformats.org/officeDocument/2006/math">
        <m:r>
          <m:t>F_\textrm{ soci infruttiferi }</m:t>
        </m:r>
      </m:oMath>
      <w:r>
        <w:t>: Finanziamenti soci infruttiferi</w:t>
      </w:r>
    </w:p>
    <w:p>
      <w:pPr>
        <w:pStyle w:val="BodyText"/>
        <w:ind w:leftChars="0" w:left="0" w:right="0"/>
      </w:pPr>
      <w:r>
        <w:t xml:space="preserve">Il suo valore ottimale può variare in base alle specifiche caratteristiche del settore in cui opera la </w:t>
      </w:r>
      <w:r>
        <w:rPr>
          <w:i/>
          <w:iCs/>
        </w:rPr>
        <w:t>Società</w:t>
      </w:r>
      <w:r>
        <w:t xml:space="preserve">. In generale, un valore superiore a 1,5 unità indica una minore capacità di sostenere un elevato indebitamento finanziario. Questo potrebbe essere associato a rischi maggiori, come costi finanziari elevati o una maggiore vulnerabilità a fluttuazioni economiche. Una valutazione accurata dell’indice richiede, dunque, una comprensione approfondita delle dinamiche finanziarie specifiche della </w:t>
      </w:r>
      <w:r>
        <w:rPr>
          <w:i/>
          <w:iCs/>
        </w:rPr>
        <w:t>Società</w:t>
      </w:r>
      <w:r>
        <w:t xml:space="preserve"> e delle esigenze del settore di riferimento.</w:t>
      </w:r>
    </w:p>
    <w:bookmarkEnd w:id="689"/>
    <w:bookmarkEnd w:id="690"/>
    <w:bookmarkStart w:id="691" w:name="_2f843a68a4386c6daa634a4575636c23"/>
    <w:bookmarkStart w:id="692" w:name="_ec611c71cf43681f3c9515cebb3aeec4"/>
    <w:p>
      <w:pPr>
        <w:pStyle w:val="Heading4"/>
        <w:keepNext/>
      </w:pPr>
      <w:r>
        <w:t>Indice della capacità di rimborso del debito finanziario</w:t>
      </w:r>
    </w:p>
    <w:p>
      <w:pPr>
        <w:pStyle w:val="BodyText"/>
        <w:ind w:leftChars="0" w:left="0" w:right="0"/>
      </w:pPr>
      <w:r>
        <w:t>L'</w:t>
      </w:r>
      <w:hyperlink xmlns:r="http://schemas.openxmlformats.org/officeDocument/2006/relationships" r:id="rId200">
        <w:r>
          <w:rPr>
            <w:rStyle w:val="Hyperlink"/>
          </w:rPr>
          <w:t>indice della capacità di rimborso del debito finanziario</w:t>
        </w:r>
      </w:hyperlink>
      <w:r>
        <w:t xml:space="preserve"> è uno strumento utilizzato per valutare la capacità della </w:t>
      </w:r>
      <w:r>
        <w:rPr>
          <w:i/>
          <w:iCs/>
        </w:rPr>
        <w:t>Società</w:t>
      </w:r>
      <w:r>
        <w:t xml:space="preserve"> di ripagare i suoi debiti finanziari utilizzando il reddito operativo, una volta coperti tutti i costi operativi. Questo indice fornisce una stima approssimativa del numero di anni necessari affinché la </w:t>
      </w:r>
      <w:r>
        <w:rPr>
          <w:i/>
          <w:iCs/>
        </w:rPr>
        <w:t>Società</w:t>
      </w:r>
      <w:r>
        <w:t xml:space="preserve"> sia in grado di estinguere completamente i suoi debiti finanziari utilizzando il reddito generato dalle sue attività operative.</w:t>
      </w:r>
    </w:p>
    <w:p>
      <w:pPr>
        <w:pStyle w:val="MathBlock"/>
        <w:ind w:leftChars="0" w:left="0" w:right="0"/>
      </w:pPr>
      <m:oMathPara xmlns:m="http://schemas.openxmlformats.org/officeDocument/2006/math">
        <m:oMathParaPr>
          <m:jc m:val="center"/>
        </m:oMathParaPr>
        <m:oMath>
          <m:r>
            <m:t>i_\textrm{ capacità di rimborso } = \frac{ D_\textrm{ finanziari } }{ EBITDA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D_\textrm{ finanziari }</m:t>
        </m:r>
      </m:oMath>
      <w:r>
        <w:t>: Debiti di natura finanziaria</w:t>
      </w:r>
    </w:p>
    <w:p>
      <w:pPr>
        <w:pStyle w:val="ListBullet"/>
        <w:numPr>
          <w:ilvl w:val="0"/>
          <w:numId w:val="2"/>
        </w:numPr>
        <w:ind w:leftChars="0" w:left="480" w:right="0"/>
      </w:pPr>
      <m:oMath xmlns:m="http://schemas.openxmlformats.org/officeDocument/2006/math">
        <m:r>
          <m:t>EBITDA</m:t>
        </m:r>
      </m:oMath>
      <w:r>
        <w:t>: Reddito operativo lordo</w:t>
      </w:r>
    </w:p>
    <w:p>
      <w:pPr>
        <w:pStyle w:val="BodyText"/>
        <w:ind w:leftChars="0" w:left="0" w:right="0"/>
      </w:pPr>
      <w:r>
        <w:t xml:space="preserve">Il suo valore ottimale può variare in base alle specifiche caratteristiche del settore in cui opera la </w:t>
      </w:r>
      <w:r>
        <w:rPr>
          <w:i/>
          <w:iCs/>
        </w:rPr>
        <w:t>Società</w:t>
      </w:r>
      <w:r>
        <w:t xml:space="preserve">. In generale, un valore più basso dell’indice indica una maggiore capacità di rimborso, il che è un segno positivo di solidità finanziaria. Un basso valore suggerisce che la </w:t>
      </w:r>
      <w:r>
        <w:rPr>
          <w:i/>
          <w:iCs/>
        </w:rPr>
        <w:t>Società</w:t>
      </w:r>
      <w:r>
        <w:t xml:space="preserve"> è in grado di ripagare i debiti relativi alle sue attività operative in un periodo relativamente breve. Tuttavia, è importante notare che il valore ottimale dell’indice dipenderà anche dalle politiche finanziarie e dagli obiettivi della </w:t>
      </w:r>
      <w:r>
        <w:rPr>
          <w:i/>
          <w:iCs/>
        </w:rPr>
        <w:t>Società</w:t>
      </w:r>
      <w:r>
        <w:t xml:space="preserve">. Alcune aziende potrebbero preferire un maggiore reinvestimento dei profitti, mentre altre potrebbero concentrarsi sulla riduzione del debito finanziario. Pertanto, una valutazione accurata dell’indice richiede una comprensione approfondita delle dinamiche finanziarie specifiche della </w:t>
      </w:r>
      <w:r>
        <w:rPr>
          <w:i/>
          <w:iCs/>
        </w:rPr>
        <w:t>Società</w:t>
      </w:r>
      <w:r>
        <w:t xml:space="preserve"> e delle sue strategie di gestione del capitale.</w:t>
      </w:r>
    </w:p>
    <w:bookmarkEnd w:id="691"/>
    <w:bookmarkEnd w:id="692"/>
    <w:bookmarkStart w:id="693" w:name="_9f6bed19618cf5ebafbf20da99595e54"/>
    <w:bookmarkStart w:id="694" w:name="_0c8b3af5494765920a6aec7bc6c9316e"/>
    <w:p>
      <w:pPr>
        <w:pStyle w:val="Heading4"/>
        <w:keepNext/>
      </w:pPr>
      <w:r>
        <w:t>Indice di solidità patrimoniale</w:t>
      </w:r>
    </w:p>
    <w:p>
      <w:pPr>
        <w:pStyle w:val="BodyText"/>
        <w:ind w:leftChars="0" w:left="0" w:right="0"/>
      </w:pPr>
      <w:r>
        <w:t>L'</w:t>
      </w:r>
      <w:hyperlink xmlns:r="http://schemas.openxmlformats.org/officeDocument/2006/relationships" r:id="rId201">
        <w:r>
          <w:rPr>
            <w:rStyle w:val="Hyperlink"/>
          </w:rPr>
          <w:t>indice di solidità patrimoniale</w:t>
        </w:r>
      </w:hyperlink>
      <w:r>
        <w:t xml:space="preserve"> permette di valutare in che misura le immobilizzazioni operative sono finanziate dai mezzi della </w:t>
      </w:r>
      <w:r>
        <w:rPr>
          <w:i/>
          <w:iCs/>
        </w:rPr>
        <w:t>Società</w:t>
      </w:r>
      <w:r>
        <w:t>. In termini più pratici, misura la sua capacità di sostenere le sue attività a lungo termine utilizzando risorse interne, come il capitale dei soci e i profitti accumulati.</w:t>
      </w:r>
    </w:p>
    <w:p>
      <w:pPr>
        <w:pStyle w:val="MathBlock"/>
        <w:ind w:leftChars="0" w:left="0" w:right="0"/>
      </w:pPr>
      <m:oMathPara xmlns:m="http://schemas.openxmlformats.org/officeDocument/2006/math">
        <m:oMathParaPr>
          <m:jc m:val="center"/>
        </m:oMathParaPr>
        <m:oMath>
          <m:r>
            <m:t>i_\textrm{ solidità patrimoniale } = \frac{ PN+ F_\textrm{ soci infruttiferi } }{ Aop_\textrm{ fisso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PN</m:t>
        </m:r>
      </m:oMath>
      <w:r>
        <w:t>: Patrimonio netto</w:t>
      </w:r>
    </w:p>
    <w:p>
      <w:pPr>
        <w:pStyle w:val="ListBullet"/>
        <w:numPr>
          <w:ilvl w:val="0"/>
          <w:numId w:val="2"/>
        </w:numPr>
        <w:ind w:leftChars="0" w:left="480" w:right="0"/>
      </w:pPr>
      <m:oMath xmlns:m="http://schemas.openxmlformats.org/officeDocument/2006/math">
        <m:r>
          <m:t>F_\textrm{ soci infruttiferi }</m:t>
        </m:r>
      </m:oMath>
      <w:r>
        <w:t>: Finanziamenti soci infruttiferi</w:t>
      </w:r>
    </w:p>
    <w:p>
      <w:pPr>
        <w:pStyle w:val="ListBullet"/>
        <w:numPr>
          <w:ilvl w:val="0"/>
          <w:numId w:val="2"/>
        </w:numPr>
        <w:ind w:leftChars="0" w:left="480" w:right="0"/>
      </w:pPr>
      <m:oMath xmlns:m="http://schemas.openxmlformats.org/officeDocument/2006/math">
        <m:r>
          <m:t>Aop_\textrm{ fisso }</m:t>
        </m:r>
      </m:oMath>
      <w:r>
        <w:t>: Attivo non corrente di natura operativa</w:t>
      </w:r>
    </w:p>
    <w:p>
      <w:pPr>
        <w:pStyle w:val="BodyText"/>
        <w:ind w:leftChars="0" w:left="0" w:right="0"/>
      </w:pPr>
      <w:r>
        <w:t xml:space="preserve">Il valore ottimale dell’indice di solidità patrimoniale può variare in base al settore in cui la </w:t>
      </w:r>
      <w:r>
        <w:rPr>
          <w:i/>
          <w:iCs/>
        </w:rPr>
        <w:t>Società</w:t>
      </w:r>
      <w:r>
        <w:t xml:space="preserve"> opera e alle sue specifiche esigenze finanziarie. In generale, un valore vicino all’unità suggerisce una maggiore stabilità finanziaria, poiché indica che gran parte delle immobilizzazioni operative è finanziata da fonti interne. Questo è spesso considerato un segno positivo della salute finanziaria della </w:t>
      </w:r>
      <w:r>
        <w:rPr>
          <w:i/>
          <w:iCs/>
        </w:rPr>
        <w:t>Società</w:t>
      </w:r>
      <w:r>
        <w:t xml:space="preserve">, poiché indica una minore dipendenza da finanziamenti esterni e una maggiore capacità di sostenere le attività a lungo termine attraverso risorse proprie. Tuttavia, è importante sottolineare che il valore ottimale dell’indice può variare in base alle specifiche esigenze e alla strategia finanziaria della </w:t>
      </w:r>
      <w:r>
        <w:rPr>
          <w:i/>
          <w:iCs/>
        </w:rPr>
        <w:t>Società</w:t>
      </w:r>
      <w:r>
        <w:t xml:space="preserve">. Alcune aziende potrebbero preferire una maggiore leva finanziaria per sfruttare opportunità di crescita, mentre altre potrebbero privilegiare una solida base patrimoniale. Pertanto, la valutazione accurata dell’indice di solidità patrimoniale richiede una comprensione approfondita delle dinamiche finanziarie specifiche della </w:t>
      </w:r>
      <w:r>
        <w:rPr>
          <w:i/>
          <w:iCs/>
        </w:rPr>
        <w:t>Società</w:t>
      </w:r>
      <w:r>
        <w:t xml:space="preserve"> e delle esigenze del settore in cui opera.</w:t>
      </w:r>
    </w:p>
    <w:bookmarkEnd w:id="693"/>
    <w:bookmarkEnd w:id="694"/>
    <w:bookmarkStart w:id="695" w:name="_32a235aeb469582fa145992e26b76232"/>
    <w:bookmarkStart w:id="696" w:name="_c8b9320cb33e0822e83e9ef45bf43da2"/>
    <w:p>
      <w:pPr>
        <w:pStyle w:val="Heading4"/>
        <w:keepNext/>
      </w:pPr>
      <w:r>
        <w:t>Grado di obsolescenza delle immobilizzazioni materiali</w:t>
      </w:r>
    </w:p>
    <w:p>
      <w:pPr>
        <w:pStyle w:val="BodyText"/>
        <w:ind w:leftChars="0" w:left="0" w:right="0"/>
      </w:pPr>
      <w:r>
        <w:t>L'</w:t>
      </w:r>
      <w:hyperlink xmlns:r="http://schemas.openxmlformats.org/officeDocument/2006/relationships" r:id="rId202">
        <w:r>
          <w:rPr>
            <w:rStyle w:val="Hyperlink"/>
          </w:rPr>
          <w:t>indice del grado di obsolescenza delle immobilizzazioni materiali</w:t>
        </w:r>
      </w:hyperlink>
      <w:r>
        <w:t xml:space="preserve"> permette di valutare quanto delle attuali immobilizzazioni materiali della </w:t>
      </w:r>
      <w:r>
        <w:rPr>
          <w:i/>
          <w:iCs/>
        </w:rPr>
        <w:t>Società</w:t>
      </w:r>
      <w:r>
        <w:t xml:space="preserve"> sia già stato ammortizzato, ovvero quanto di esse sia stato consumato o superato nel corso del tempo.</w:t>
      </w:r>
    </w:p>
    <w:p>
      <w:pPr>
        <w:pStyle w:val="MathBlock"/>
        <w:ind w:leftChars="0" w:left="0" w:right="0"/>
      </w:pPr>
      <m:oMathPara xmlns:m="http://schemas.openxmlformats.org/officeDocument/2006/math">
        <m:oMathParaPr>
          <m:jc m:val="center"/>
        </m:oMathParaPr>
        <m:oMath>
          <m:r>
            <m:t>i_\textrm{ obsolescenza beni materiali } = \frac{ FA_\textrm{ beni materiali }+ FS_\textrm{ beni materiali } }{ Ct_\textrm{ beni materiali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FA_\textrm{ beni materiali }</m:t>
        </m:r>
      </m:oMath>
      <w:r>
        <w:t>: Fondi di ammortamento per immobilizzazioni materiali</w:t>
      </w:r>
    </w:p>
    <w:p>
      <w:pPr>
        <w:pStyle w:val="ListBullet"/>
        <w:numPr>
          <w:ilvl w:val="0"/>
          <w:numId w:val="2"/>
        </w:numPr>
        <w:ind w:leftChars="0" w:left="480" w:right="0"/>
      </w:pPr>
      <m:oMath xmlns:m="http://schemas.openxmlformats.org/officeDocument/2006/math">
        <m:r>
          <m:t>FS_\textrm{ beni materiali }</m:t>
        </m:r>
      </m:oMath>
      <w:r>
        <w:t>: Fondi di svalutazione per immobilizzazioni materiali</w:t>
      </w:r>
    </w:p>
    <w:p>
      <w:pPr>
        <w:pStyle w:val="ListBullet"/>
        <w:numPr>
          <w:ilvl w:val="0"/>
          <w:numId w:val="2"/>
        </w:numPr>
        <w:ind w:leftChars="0" w:left="480" w:right="0"/>
      </w:pPr>
      <m:oMath xmlns:m="http://schemas.openxmlformats.org/officeDocument/2006/math">
        <m:r>
          <m:t>Ct_\textrm{ beni materiali }</m:t>
        </m:r>
      </m:oMath>
      <w:r>
        <w:t>: Costo delle immobilizzazioni materiali</w:t>
      </w:r>
    </w:p>
    <w:p>
      <w:pPr>
        <w:pStyle w:val="BodyText"/>
        <w:ind w:leftChars="0" w:left="0" w:right="0"/>
      </w:pPr>
      <w:r>
        <w:t xml:space="preserve">In termini pratici, un valore elevato di questo indice suggerisce che una parte significativa delle immobilizzazioni materiali potrebbe aver raggiunto uno stato di obsolescenza o potrebbe richiedere un aggiornamento per rimanere competitive o efficienti. L’indice è espresso in una scala che va da zero a uno. Tuttavia, è importante sottolineare che il valore ottimale dell’indice può variare in base al settore e alle caratteristiche specifiche della </w:t>
      </w:r>
      <w:r>
        <w:rPr>
          <w:i/>
          <w:iCs/>
        </w:rPr>
        <w:t>Società</w:t>
      </w:r>
      <w:r>
        <w:t>.</w:t>
      </w:r>
    </w:p>
    <w:bookmarkEnd w:id="695"/>
    <w:bookmarkEnd w:id="696"/>
    <w:bookmarkStart w:id="697" w:name="_81c2c7cfcc67b30f9f107c289bb978a1"/>
    <w:bookmarkStart w:id="698" w:name="_6858278a0dfa61f499a3433a07b8de8c"/>
    <w:p>
      <w:pPr>
        <w:pStyle w:val="Heading4"/>
        <w:keepNext/>
      </w:pPr>
      <w:r>
        <w:t>Costo medio dei debiti finanziari</w:t>
      </w:r>
    </w:p>
    <w:p>
      <w:pPr>
        <w:pStyle w:val="BodyText"/>
        <w:ind w:leftChars="0" w:left="0" w:right="0"/>
      </w:pPr>
      <w:r>
        <w:t>L'</w:t>
      </w:r>
      <w:hyperlink xmlns:r="http://schemas.openxmlformats.org/officeDocument/2006/relationships" r:id="rId203">
        <w:r>
          <w:rPr>
            <w:rStyle w:val="Hyperlink"/>
          </w:rPr>
          <w:t>indice del costo medio del debito finanziario</w:t>
        </w:r>
      </w:hyperlink>
      <w:r>
        <w:t xml:space="preserve"> permette di valutare l’effettivo costo medio sostenuto dalla </w:t>
      </w:r>
      <w:r>
        <w:rPr>
          <w:i/>
          <w:iCs/>
        </w:rPr>
        <w:t>Società</w:t>
      </w:r>
      <w:r>
        <w:t xml:space="preserve"> per i suoi finanziamenti in essere. Questo indice è calcolato come il rapporto tra gli interessi e le spese legate a debiti di natura finanziaria e il totale di tali debiti.</w:t>
      </w:r>
    </w:p>
    <w:p>
      <w:pPr>
        <w:pStyle w:val="MathBlock"/>
        <w:ind w:leftChars="0" w:left="0" w:right="0"/>
      </w:pPr>
      <m:oMathPara xmlns:m="http://schemas.openxmlformats.org/officeDocument/2006/math">
        <m:oMathParaPr>
          <m:jc m:val="center"/>
        </m:oMathParaPr>
        <m:oMath>
          <m:r>
            <m:t>i_\textrm{ costo debiti finanziari } = \frac{ Ofin_\textrm{ interessi } }{ D_\textrm{ finanziari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Ofin_\textrm{ interessi }</m:t>
        </m:r>
      </m:oMath>
      <w:r>
        <w:t>: Interessi passivi di natura finanziaria</w:t>
      </w:r>
    </w:p>
    <w:p>
      <w:pPr>
        <w:pStyle w:val="ListBullet"/>
        <w:numPr>
          <w:ilvl w:val="0"/>
          <w:numId w:val="2"/>
        </w:numPr>
        <w:ind w:leftChars="0" w:left="480" w:right="0"/>
      </w:pPr>
      <m:oMath xmlns:m="http://schemas.openxmlformats.org/officeDocument/2006/math">
        <m:r>
          <m:t>D_\textrm{ finanziari }</m:t>
        </m:r>
      </m:oMath>
      <w:r>
        <w:t>: Debiti di natura finanziaria</w:t>
      </w:r>
    </w:p>
    <w:p>
      <w:pPr>
        <w:pStyle w:val="BodyText"/>
        <w:ind w:leftChars="0" w:left="0" w:right="0"/>
      </w:pPr>
      <w:r>
        <w:t xml:space="preserve">Il suo valore ottimale varia in base al rating finanziario assegnato alla </w:t>
      </w:r>
      <w:r>
        <w:rPr>
          <w:i/>
          <w:iCs/>
        </w:rPr>
        <w:t>Società</w:t>
      </w:r>
      <w:r>
        <w:t xml:space="preserve">. Il rating finanziario riflette la solvibilità e la capacità di rimborso, influenzando quindi il tasso di interesse applicato sui prestiti. La valutazione del costo medio del debito finanziario deve tener conto anche delle condizioni di mercato prevalenti. Inoltre, è necessario considerare il contesto specifico della </w:t>
      </w:r>
      <w:r>
        <w:rPr>
          <w:i/>
          <w:iCs/>
        </w:rPr>
        <w:t>Società</w:t>
      </w:r>
      <w:r>
        <w:t xml:space="preserve"> per una valutazione accurata, poiché variabili come la struttura del debito e la politica finanziaria influenzano il costo effettivo del debito.</w:t>
      </w:r>
    </w:p>
    <w:bookmarkEnd w:id="697"/>
    <w:bookmarkEnd w:id="698"/>
    <w:bookmarkEnd w:id="686"/>
    <w:bookmarkStart w:id="699" w:name="_e3a381dcc17a3507da22cbbb7dedd8c0"/>
    <w:p>
      <w:pPr>
        <w:pStyle w:val="Heading3"/>
        <w:keepNext/>
      </w:pPr>
      <w:r>
        <w:t>Indici di redditività</w:t>
      </w:r>
    </w:p>
    <w:bookmarkStart w:id="700" w:name="_249fbf8ea2d7820a50e9e85750c60e05"/>
    <w:bookmarkStart w:id="701" w:name="_7fac2c6e034f6746aadfcd3e10f2861a"/>
    <w:p>
      <w:pPr>
        <w:pStyle w:val="Heading4"/>
        <w:keepNext/>
      </w:pPr>
      <w:r>
        <w:t>Return on equity (ROE)</w:t>
      </w:r>
    </w:p>
    <w:p>
      <w:pPr>
        <w:pStyle w:val="BodyText"/>
        <w:ind w:leftChars="0" w:left="0" w:right="0"/>
      </w:pPr>
      <w:r>
        <w:t xml:space="preserve">Il </w:t>
      </w:r>
      <w:hyperlink xmlns:r="http://schemas.openxmlformats.org/officeDocument/2006/relationships" r:id="rId204">
        <w:r>
          <w:rPr>
            <w:rStyle w:val="Hyperlink"/>
          </w:rPr>
          <w:t>return on equity (ROE)</w:t>
        </w:r>
      </w:hyperlink>
      <w:r>
        <w:t xml:space="preserve"> consente di valutare la capacità della </w:t>
      </w:r>
      <w:r>
        <w:rPr>
          <w:i/>
          <w:iCs/>
        </w:rPr>
        <w:t>Società</w:t>
      </w:r>
      <w:r>
        <w:t xml:space="preserve"> di remunerare l’investimento effettuato dai propri soci. Il ROE è considerato un indice chiave dell’efficienza con cui la </w:t>
      </w:r>
      <w:r>
        <w:rPr>
          <w:i/>
          <w:iCs/>
        </w:rPr>
        <w:t>Società</w:t>
      </w:r>
      <w:r>
        <w:t xml:space="preserve"> utilizza i fondi forniti dai suoi azionisti per generare profitti. Il ROE riflette, quindi, la capacità della </w:t>
      </w:r>
      <w:r>
        <w:rPr>
          <w:i/>
          <w:iCs/>
        </w:rPr>
        <w:t>Società</w:t>
      </w:r>
      <w:r>
        <w:t xml:space="preserve"> di generare guadagni rispetto agli investimenti effettuati dai suoi soci o azionisti.</w:t>
      </w:r>
    </w:p>
    <w:p>
      <w:pPr>
        <w:pStyle w:val="MathBlock"/>
        <w:ind w:leftChars="0" w:left="0" w:right="0"/>
      </w:pPr>
      <m:oMathPara xmlns:m="http://schemas.openxmlformats.org/officeDocument/2006/math">
        <m:oMathParaPr>
          <m:jc m:val="center"/>
        </m:oMathParaPr>
        <m:oMath>
          <m:r>
            <m:t>i_\textrm{ ROE } = \frac{ RN_\textrm{ periodo } }{ PN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RN_\textrm{ periodo }</m:t>
        </m:r>
      </m:oMath>
      <w:r>
        <w:t>: Risultato netto del periodo</w:t>
      </w:r>
    </w:p>
    <w:p>
      <w:pPr>
        <w:pStyle w:val="ListBullet"/>
        <w:numPr>
          <w:ilvl w:val="0"/>
          <w:numId w:val="2"/>
        </w:numPr>
        <w:ind w:leftChars="0" w:left="480" w:right="0"/>
      </w:pPr>
      <m:oMath xmlns:m="http://schemas.openxmlformats.org/officeDocument/2006/math">
        <m:r>
          <m:t>PN</m:t>
        </m:r>
      </m:oMath>
      <w:r>
        <w:t>: Patrimonio netto</w:t>
      </w:r>
    </w:p>
    <w:p>
      <w:pPr>
        <w:pStyle w:val="BodyText"/>
        <w:ind w:leftChars="0" w:left="0" w:right="0"/>
      </w:pPr>
      <w:r>
        <w:t xml:space="preserve">Il suo valore ottimale può variare in base alle specifiche caratteristiche del settore in cui opera la </w:t>
      </w:r>
      <w:r>
        <w:rPr>
          <w:i/>
          <w:iCs/>
        </w:rPr>
        <w:t>Società</w:t>
      </w:r>
      <w:r>
        <w:t xml:space="preserve">. In settori ad alta crescita e ad alto rischio, ad esempio, un ROE elevato può essere considerato appropriato, poiché riflette una maggiore potenziale redditività. Tuttavia, in settori più stabili e maturi, un ROE moderato ma costante può essere preferibile, indicando una gestione finanziaria prudente e sostenibile. Il ROE può essere influenzato da vari fattori, tra cui il livello di indebitamento, la redditività operativa e la distribuzione dei profitti agli azionisti. Pertanto, una valutazione accurata del ROE richiede una comprensione approfondita del contesto specifico della </w:t>
      </w:r>
      <w:r>
        <w:rPr>
          <w:i/>
          <w:iCs/>
        </w:rPr>
        <w:t>Società</w:t>
      </w:r>
      <w:r>
        <w:t xml:space="preserve"> e delle dinamiche del settore in cui opera.</w:t>
      </w:r>
    </w:p>
    <w:bookmarkEnd w:id="700"/>
    <w:bookmarkEnd w:id="701"/>
    <w:bookmarkStart w:id="702" w:name="_31b515b9343bfe6fbdf28b12e6ee9be2"/>
    <w:bookmarkStart w:id="703" w:name="_2dfe62fb36119576654e93362d1e9123"/>
    <w:p>
      <w:pPr>
        <w:pStyle w:val="Heading4"/>
        <w:keepNext/>
      </w:pPr>
      <w:r>
        <w:t>Return on investments (ROI)</w:t>
      </w:r>
    </w:p>
    <w:p>
      <w:pPr>
        <w:pStyle w:val="BodyText"/>
        <w:ind w:leftChars="0" w:left="0" w:right="0"/>
      </w:pPr>
      <w:r>
        <w:t xml:space="preserve">Il </w:t>
      </w:r>
      <w:hyperlink xmlns:r="http://schemas.openxmlformats.org/officeDocument/2006/relationships" r:id="rId205">
        <w:r>
          <w:rPr>
            <w:rStyle w:val="Hyperlink"/>
          </w:rPr>
          <w:t>return on investments (ROI)</w:t>
        </w:r>
      </w:hyperlink>
      <w:r>
        <w:t xml:space="preserve"> consente di valutare la capacità della </w:t>
      </w:r>
      <w:r>
        <w:rPr>
          <w:i/>
          <w:iCs/>
        </w:rPr>
        <w:t>Società</w:t>
      </w:r>
      <w:r>
        <w:t xml:space="preserve"> di ottenere un rendimento dai suoi investimenti operativi. Il ROI fornisce un’indicazione chiara della capacità della </w:t>
      </w:r>
      <w:r>
        <w:rPr>
          <w:i/>
          <w:iCs/>
        </w:rPr>
        <w:t>Società</w:t>
      </w:r>
      <w:r>
        <w:t xml:space="preserve"> di generare un rendimento dagli investimenti effettuati.</w:t>
      </w:r>
    </w:p>
    <w:p>
      <w:pPr>
        <w:pStyle w:val="MathBlock"/>
        <w:ind w:leftChars="0" w:left="0" w:right="0"/>
      </w:pPr>
      <m:oMathPara xmlns:m="http://schemas.openxmlformats.org/officeDocument/2006/math">
        <m:oMathParaPr>
          <m:jc m:val="center"/>
        </m:oMathParaPr>
        <m:oMath>
          <m:r>
            <m:t>i_\textrm{ ROI } = \frac{ EBIT }{ COIN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EBIT</m:t>
        </m:r>
      </m:oMath>
      <w:r>
        <w:t>: Reddito operativo</w:t>
      </w:r>
    </w:p>
    <w:p>
      <w:pPr>
        <w:pStyle w:val="ListBullet"/>
        <w:numPr>
          <w:ilvl w:val="0"/>
          <w:numId w:val="2"/>
        </w:numPr>
        <w:ind w:leftChars="0" w:left="480" w:right="0"/>
      </w:pPr>
      <m:oMath xmlns:m="http://schemas.openxmlformats.org/officeDocument/2006/math">
        <m:r>
          <m:t>COIN</m:t>
        </m:r>
      </m:oMath>
      <w:r>
        <w:t>: Capitale investito netto operativo</w:t>
      </w:r>
    </w:p>
    <w:p>
      <w:pPr>
        <w:pStyle w:val="BodyText"/>
        <w:ind w:leftChars="0" w:left="0" w:right="0"/>
      </w:pPr>
      <w:r>
        <w:t xml:space="preserve">Il suo valore ottimale può variare in base alle specifiche caratteristiche del settore in cui la </w:t>
      </w:r>
      <w:r>
        <w:rPr>
          <w:i/>
          <w:iCs/>
        </w:rPr>
        <w:t>Società</w:t>
      </w:r>
      <w:r>
        <w:t xml:space="preserve"> opera. In settori ad alta crescita e ad alto rischio, ad esempio, un ROI più elevato può essere considerato appropriato, poiché riflette un maggiore potenziale di guadagno sugli investimenti. Tuttavia, in settori più stabili e consolidati, un ROI moderato ma costante può essere preferibile, indicando una gestione finanziaria prudente e una solida base operativa. Il ROI può essere influenzato da vari fattori, tra cui la redditività operativa, i costi degli investimenti e il ciclo di vita dei progetti. Pertanto, una valutazione accurata del ROI richiede una comprensione approfondita del contesto specifico della </w:t>
      </w:r>
      <w:r>
        <w:rPr>
          <w:i/>
          <w:iCs/>
        </w:rPr>
        <w:t>Società</w:t>
      </w:r>
      <w:r>
        <w:t xml:space="preserve"> e delle dinamiche del settore in cui opera.</w:t>
      </w:r>
    </w:p>
    <w:bookmarkEnd w:id="702"/>
    <w:bookmarkEnd w:id="703"/>
    <w:bookmarkStart w:id="704" w:name="_515f352e51bb7ee6316a94572e315398"/>
    <w:bookmarkStart w:id="705" w:name="_373159d886bece5db05c56c0b39e2900"/>
    <w:p>
      <w:pPr>
        <w:pStyle w:val="Heading4"/>
        <w:keepNext/>
      </w:pPr>
      <w:r>
        <w:t>Return on sales (ROS)</w:t>
      </w:r>
    </w:p>
    <w:p>
      <w:pPr>
        <w:pStyle w:val="BodyText"/>
        <w:ind w:leftChars="0" w:left="0" w:right="0"/>
      </w:pPr>
      <w:r>
        <w:t xml:space="preserve">Il </w:t>
      </w:r>
      <w:hyperlink xmlns:r="http://schemas.openxmlformats.org/officeDocument/2006/relationships" r:id="rId206">
        <w:r>
          <w:rPr>
            <w:rStyle w:val="Hyperlink"/>
          </w:rPr>
          <w:t>return on sales (ROS)</w:t>
        </w:r>
      </w:hyperlink>
      <w:r>
        <w:t xml:space="preserve"> consente di valutare la redditività delle vendite, fornendo un’indicazione della quota dei ricavi che rimane dopo aver coperto tutti i costi operativi. Il ROS fornisce un’indicazione chiara di quanto redditizio sia il processo di vendita di una </w:t>
      </w:r>
      <w:r>
        <w:rPr>
          <w:i/>
          <w:iCs/>
        </w:rPr>
        <w:t>Società</w:t>
      </w:r>
      <w:r>
        <w:t>.</w:t>
      </w:r>
    </w:p>
    <w:p>
      <w:pPr>
        <w:pStyle w:val="MathBlock"/>
        <w:ind w:leftChars="0" w:left="0" w:right="0"/>
      </w:pPr>
      <m:oMathPara xmlns:m="http://schemas.openxmlformats.org/officeDocument/2006/math">
        <m:oMathParaPr>
          <m:jc m:val="center"/>
        </m:oMathParaPr>
        <m:oMath>
          <m:r>
            <m:t>i_\textrm{ ROS } = \frac{ EBIT }{ R_\textrm{ netti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EBIT</m:t>
        </m:r>
      </m:oMath>
      <w:r>
        <w:t>: Reddito operativo</w:t>
      </w:r>
    </w:p>
    <w:p>
      <w:pPr>
        <w:pStyle w:val="ListBullet"/>
        <w:numPr>
          <w:ilvl w:val="0"/>
          <w:numId w:val="2"/>
        </w:numPr>
        <w:ind w:leftChars="0" w:left="480" w:right="0"/>
      </w:pPr>
      <m:oMath xmlns:m="http://schemas.openxmlformats.org/officeDocument/2006/math">
        <m:r>
          <m:t>R_\textrm{ netti }</m:t>
        </m:r>
      </m:oMath>
      <w:r>
        <w:t>: Fatturato netto</w:t>
      </w:r>
    </w:p>
    <w:p>
      <w:pPr>
        <w:pStyle w:val="BodyText"/>
        <w:ind w:leftChars="0" w:left="0" w:right="0"/>
      </w:pPr>
      <w:r>
        <w:t xml:space="preserve">Il suo valore ottimale può variare in base alle specifiche caratteristiche del settore in cui la </w:t>
      </w:r>
      <w:r>
        <w:rPr>
          <w:i/>
          <w:iCs/>
        </w:rPr>
        <w:t>Società</w:t>
      </w:r>
      <w:r>
        <w:t xml:space="preserve"> opera. In settori ad alta concorrenza e margini sottili, ad esempio, un ROS più elevato può essere considerato appropriato, poiché indica una maggiore efficienza operativa. Tuttavia, in settori con margini più ampi ma una concorrenza minore, un ROS moderato ma costante può essere preferibile, indicando una gestione finanziaria prudente e una solida base operativa. Il ROS può essere influenzato da vari fattori, tra cui la struttura dei costi, la gestione delle entrate e le strategie di prezzo. Pertanto, una valutazione accurata del ROS richiede una comprensione approfondita del contesto specifico della </w:t>
      </w:r>
      <w:r>
        <w:rPr>
          <w:i/>
          <w:iCs/>
        </w:rPr>
        <w:t>Società</w:t>
      </w:r>
      <w:r>
        <w:t xml:space="preserve"> e delle dinamiche del settore in cui opera.</w:t>
      </w:r>
    </w:p>
    <w:bookmarkEnd w:id="704"/>
    <w:bookmarkEnd w:id="705"/>
    <w:bookmarkStart w:id="706" w:name="_9457b7a2b8e5af55d09a01de85535174"/>
    <w:bookmarkStart w:id="707" w:name="_a938891b0324655c3b977afc6bd848c3"/>
    <w:p>
      <w:pPr>
        <w:pStyle w:val="Heading4"/>
        <w:keepNext/>
      </w:pPr>
      <w:r>
        <w:t>Indice di rotazione del capitale investito netto</w:t>
      </w:r>
    </w:p>
    <w:p>
      <w:pPr>
        <w:pStyle w:val="BodyText"/>
        <w:ind w:leftChars="0" w:left="0" w:right="0"/>
      </w:pPr>
      <w:r>
        <w:t>L'</w:t>
      </w:r>
      <w:hyperlink xmlns:r="http://schemas.openxmlformats.org/officeDocument/2006/relationships" r:id="rId207">
        <w:r>
          <w:rPr>
            <w:rStyle w:val="Hyperlink"/>
          </w:rPr>
          <w:t>indice di rotazione del capitale investito netto</w:t>
        </w:r>
      </w:hyperlink>
      <w:r>
        <w:t xml:space="preserve"> consente di valutare la capacità della </w:t>
      </w:r>
      <w:r>
        <w:rPr>
          <w:i/>
          <w:iCs/>
        </w:rPr>
        <w:t>Società</w:t>
      </w:r>
      <w:r>
        <w:t xml:space="preserve"> di trasformare i suoi investimenti operativi in ricavi di vendita. Questo indicatore fornisce una chiara visione della capacità della </w:t>
      </w:r>
      <w:r>
        <w:rPr>
          <w:i/>
          <w:iCs/>
        </w:rPr>
        <w:t>Società</w:t>
      </w:r>
      <w:r>
        <w:t xml:space="preserve"> di utilizzare in modo ottimale il le sue risorse operative per generare profitti.</w:t>
      </w:r>
    </w:p>
    <w:p>
      <w:pPr>
        <w:pStyle w:val="MathBlock"/>
        <w:ind w:leftChars="0" w:left="0" w:right="0"/>
      </w:pPr>
      <m:oMathPara xmlns:m="http://schemas.openxmlformats.org/officeDocument/2006/math">
        <m:oMathParaPr>
          <m:jc m:val="center"/>
        </m:oMathParaPr>
        <m:oMath>
          <m:r>
            <m:t>i_\textrm{ COIN rotazione } = \frac{ R_\textrm{ netti } }{ COIN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R_\textrm{ netti }</m:t>
        </m:r>
      </m:oMath>
      <w:r>
        <w:t>: Fatturato netto</w:t>
      </w:r>
    </w:p>
    <w:p>
      <w:pPr>
        <w:pStyle w:val="ListBullet"/>
        <w:numPr>
          <w:ilvl w:val="0"/>
          <w:numId w:val="2"/>
        </w:numPr>
        <w:ind w:leftChars="0" w:left="480" w:right="0"/>
      </w:pPr>
      <m:oMath xmlns:m="http://schemas.openxmlformats.org/officeDocument/2006/math">
        <m:r>
          <m:t>COIN</m:t>
        </m:r>
      </m:oMath>
      <w:r>
        <w:t>: Capitale investito netto operativo</w:t>
      </w:r>
    </w:p>
    <w:p>
      <w:pPr>
        <w:pStyle w:val="BodyText"/>
        <w:ind w:leftChars="0" w:left="0" w:right="0"/>
      </w:pPr>
      <w:r>
        <w:t xml:space="preserve">Il suo valore ottimale può variare in base alle specifiche caratteristiche del settore in cui la </w:t>
      </w:r>
      <w:r>
        <w:rPr>
          <w:i/>
          <w:iCs/>
        </w:rPr>
        <w:t>Società</w:t>
      </w:r>
      <w:r>
        <w:t xml:space="preserve"> opera. In settori ad alta efficienza operativa e rapidità di rotazione degli asset, un turnover elevato può essere considerato appropriato, poiché riflette un uso efficiente delle risorse aziendali. Tuttavia, in settori con cicli di vita più lunghi o una gestione più conservativa delle attività, un turnover moderato ma costante può essere preferibile, indicando una strategia di crescita sostenibile. L’indice di rotazione del capitale investito netto può essere influenzato da vari fattori, tra cui la gestione dell’inventario, la velocità di incasso e pagamento e la gestione delle risorse. Pertanto, una valutazione accurata richiede una comprensione approfondita del contesto specifico della </w:t>
      </w:r>
      <w:r>
        <w:rPr>
          <w:i/>
          <w:iCs/>
        </w:rPr>
        <w:t>Società</w:t>
      </w:r>
      <w:r>
        <w:t xml:space="preserve"> e delle dinamiche del settore in cui opera.</w:t>
      </w:r>
    </w:p>
    <w:bookmarkEnd w:id="706"/>
    <w:bookmarkEnd w:id="707"/>
    <w:bookmarkEnd w:id="699"/>
    <w:bookmarkStart w:id="708" w:name="_340a8d1420fbf1acb1cd7655e4b56c17"/>
    <w:p>
      <w:pPr>
        <w:pStyle w:val="Heading3"/>
        <w:keepNext/>
      </w:pPr>
      <w:r>
        <w:t>Indici di liquidità</w:t>
      </w:r>
    </w:p>
    <w:bookmarkStart w:id="709" w:name="_580891c44cb12663dd8e6b6f79bd8795"/>
    <w:bookmarkStart w:id="710" w:name="_c0e16ea46074fe9fca8d94c28a2e9010"/>
    <w:p>
      <w:pPr>
        <w:pStyle w:val="Heading4"/>
        <w:keepNext/>
      </w:pPr>
      <w:r>
        <w:t>Indice di liquidità primaria</w:t>
      </w:r>
    </w:p>
    <w:p>
      <w:pPr>
        <w:pStyle w:val="BodyText"/>
        <w:ind w:leftChars="0" w:left="0" w:right="0"/>
      </w:pPr>
      <w:r>
        <w:t>L'</w:t>
      </w:r>
      <w:hyperlink xmlns:r="http://schemas.openxmlformats.org/officeDocument/2006/relationships" r:id="rId208">
        <w:r>
          <w:rPr>
            <w:rStyle w:val="Hyperlink"/>
          </w:rPr>
          <w:t>indice di liquidità primaria</w:t>
        </w:r>
      </w:hyperlink>
      <w:r>
        <w:t xml:space="preserve"> consente di valutare la capacità della </w:t>
      </w:r>
      <w:r>
        <w:rPr>
          <w:i/>
          <w:iCs/>
        </w:rPr>
        <w:t>Società</w:t>
      </w:r>
      <w:r>
        <w:t xml:space="preserve"> di far fronte ai suoi obblighi di pagamento immediati ponendo a confronto le attività correnti con le passività correnti, ma escludendo il valore delle rimanenze. Tale scelta è legata al fatto che la dismissione delle rimanenze può, in alcuni casi, compromettere il regolare svolgimento dell’attività d’impresa.</w:t>
      </w:r>
    </w:p>
    <w:p>
      <w:pPr>
        <w:pStyle w:val="MathBlock"/>
        <w:ind w:leftChars="0" w:left="0" w:right="0"/>
      </w:pPr>
      <m:oMathPara xmlns:m="http://schemas.openxmlformats.org/officeDocument/2006/math">
        <m:oMathParaPr>
          <m:jc m:val="center"/>
        </m:oMathParaPr>
        <m:oMath>
          <m:r>
            <m:t>i_\textrm{ liquidità primaria } = \frac{ A_\textrm{ breve }- Rim }{ P_\textrm{ breve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A_\textrm{ breve }</m:t>
        </m:r>
      </m:oMath>
      <w:r>
        <w:t>: Attivo corrente</w:t>
      </w:r>
    </w:p>
    <w:p>
      <w:pPr>
        <w:pStyle w:val="ListBullet"/>
        <w:numPr>
          <w:ilvl w:val="0"/>
          <w:numId w:val="2"/>
        </w:numPr>
        <w:ind w:leftChars="0" w:left="480" w:right="0"/>
      </w:pPr>
      <m:oMath xmlns:m="http://schemas.openxmlformats.org/officeDocument/2006/math">
        <m:r>
          <m:t>Rim</m:t>
        </m:r>
      </m:oMath>
      <w:r>
        <w:t>: Rimanenze</w:t>
      </w:r>
    </w:p>
    <w:p>
      <w:pPr>
        <w:pStyle w:val="ListBullet"/>
        <w:numPr>
          <w:ilvl w:val="0"/>
          <w:numId w:val="2"/>
        </w:numPr>
        <w:ind w:leftChars="0" w:left="480" w:right="0"/>
      </w:pPr>
      <m:oMath xmlns:m="http://schemas.openxmlformats.org/officeDocument/2006/math">
        <m:r>
          <m:t>P_\textrm{ breve }</m:t>
        </m:r>
      </m:oMath>
      <w:r>
        <w:t>: Passivo corrente</w:t>
      </w:r>
    </w:p>
    <w:p>
      <w:pPr>
        <w:pStyle w:val="BodyText"/>
        <w:ind w:leftChars="0" w:left="0" w:right="0"/>
      </w:pPr>
      <w:r>
        <w:t xml:space="preserve">Generalmente, l’indice di liquidità primaria è considerato positivo se supera il valore di 1. Un valore superiore a 1 suggerisce che la </w:t>
      </w:r>
      <w:r>
        <w:rPr>
          <w:i/>
          <w:iCs/>
        </w:rPr>
        <w:t>Società</w:t>
      </w:r>
      <w:r>
        <w:t xml:space="preserve"> dispone di abbastanza attività liquide per coprire completamente le passività correnti, il che è un segno di solvibilità. Tuttavia, è importante notare che il valore ottimale dell’indice può variare in base alle specifiche esigenze finanziarie della </w:t>
      </w:r>
      <w:r>
        <w:rPr>
          <w:i/>
          <w:iCs/>
        </w:rPr>
        <w:t>Società</w:t>
      </w:r>
      <w:r>
        <w:t xml:space="preserve"> e alle dinamiche del settore in cui opera. Ad esempio, in settori con fluttuazioni stagionali o cicli di vendita particolari, un indice leggermente inferiore a 1 potrebbe essere accettabile, purché la </w:t>
      </w:r>
      <w:r>
        <w:rPr>
          <w:i/>
          <w:iCs/>
        </w:rPr>
        <w:t>Società</w:t>
      </w:r>
      <w:r>
        <w:t xml:space="preserve"> sia in grado di coprire gli impegni di breve termine in modo tempestivo durante il corso del ciclo operativo.</w:t>
      </w:r>
    </w:p>
    <w:bookmarkEnd w:id="709"/>
    <w:bookmarkEnd w:id="710"/>
    <w:bookmarkStart w:id="711" w:name="_09a6b86d5e4fe939dd5b8a253e82db1b"/>
    <w:bookmarkStart w:id="712" w:name="_26d236083a26ad5f6a2cf5147d80d382"/>
    <w:p>
      <w:pPr>
        <w:pStyle w:val="Heading4"/>
        <w:keepNext/>
      </w:pPr>
      <w:r>
        <w:t>Indice di liquidità secondaria</w:t>
      </w:r>
    </w:p>
    <w:p>
      <w:pPr>
        <w:pStyle w:val="BodyText"/>
        <w:ind w:leftChars="0" w:left="0" w:right="0"/>
      </w:pPr>
      <w:r>
        <w:t>L'</w:t>
      </w:r>
      <w:hyperlink xmlns:r="http://schemas.openxmlformats.org/officeDocument/2006/relationships" r:id="rId209">
        <w:r>
          <w:rPr>
            <w:rStyle w:val="Hyperlink"/>
          </w:rPr>
          <w:t>indice di liquidità secondaria</w:t>
        </w:r>
      </w:hyperlink>
      <w:r>
        <w:t xml:space="preserve"> permette di valutare la capacità della </w:t>
      </w:r>
      <w:r>
        <w:rPr>
          <w:i/>
          <w:iCs/>
        </w:rPr>
        <w:t>Società</w:t>
      </w:r>
      <w:r>
        <w:t xml:space="preserve"> di far fronte ai suoi obblighi di pagamento immediati, confrontando le attività correnti con le passività correnti. In genere, l’indice viene considerato positivo se il suo valore supera 1. Questo indice fornisce un’indicazione importante sulla solvibilità a breve termine della </w:t>
      </w:r>
      <w:r>
        <w:rPr>
          <w:i/>
          <w:iCs/>
        </w:rPr>
        <w:t>Società</w:t>
      </w:r>
      <w:r>
        <w:t>, valutando la sua capacità di coprire completamente le passività correnti con le risorse correnti disponibili.</w:t>
      </w:r>
    </w:p>
    <w:p>
      <w:pPr>
        <w:pStyle w:val="MathBlock"/>
        <w:ind w:leftChars="0" w:left="0" w:right="0"/>
      </w:pPr>
      <m:oMathPara xmlns:m="http://schemas.openxmlformats.org/officeDocument/2006/math">
        <m:oMathParaPr>
          <m:jc m:val="center"/>
        </m:oMathParaPr>
        <m:oMath>
          <m:r>
            <m:t>i_\textrm{ liquidità secondaria } = \frac{ A_\textrm{ breve } }{ P_\textrm{ breve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A_\textrm{ breve }</m:t>
        </m:r>
      </m:oMath>
      <w:r>
        <w:t>: Attivo corrente</w:t>
      </w:r>
    </w:p>
    <w:p>
      <w:pPr>
        <w:pStyle w:val="ListBullet"/>
        <w:numPr>
          <w:ilvl w:val="0"/>
          <w:numId w:val="2"/>
        </w:numPr>
        <w:ind w:leftChars="0" w:left="480" w:right="0"/>
      </w:pPr>
      <m:oMath xmlns:m="http://schemas.openxmlformats.org/officeDocument/2006/math">
        <m:r>
          <m:t>P_\textrm{ breve }</m:t>
        </m:r>
      </m:oMath>
      <w:r>
        <w:t>: Passivo corrente</w:t>
      </w:r>
    </w:p>
    <w:p>
      <w:pPr>
        <w:pStyle w:val="BodyText"/>
        <w:ind w:leftChars="0" w:left="0" w:right="0"/>
      </w:pPr>
      <w:r>
        <w:t xml:space="preserve">Il valore ottimale dell’indice di liquidità secondaria può variare in base al contesto finanziario specifico della </w:t>
      </w:r>
      <w:r>
        <w:rPr>
          <w:i/>
          <w:iCs/>
        </w:rPr>
        <w:t>Società</w:t>
      </w:r>
      <w:r>
        <w:t xml:space="preserve"> e alle dinamiche del settore in cui opera. Ad esempio, in settori con fluttuazioni stagionali o cicli di vendita particolari, un indice leggermente inferiore a 1 potrebbe essere accettabile, purché la </w:t>
      </w:r>
      <w:r>
        <w:rPr>
          <w:i/>
          <w:iCs/>
        </w:rPr>
        <w:t>Società</w:t>
      </w:r>
      <w:r>
        <w:t xml:space="preserve"> sia in grado di gestire i suoi impegni di breve termine in modo efficace durante il ciclo operativo. La valutazione accurata dell’indice di liquidità secondaria richiede, quindi, una comprensione dettagliata delle specifiche esigenze finanziarie della </w:t>
      </w:r>
      <w:r>
        <w:rPr>
          <w:i/>
          <w:iCs/>
        </w:rPr>
        <w:t>Società</w:t>
      </w:r>
      <w:r>
        <w:t xml:space="preserve"> e delle condizioni di mercato prevalenti.</w:t>
      </w:r>
    </w:p>
    <w:bookmarkEnd w:id="711"/>
    <w:bookmarkEnd w:id="712"/>
    <w:bookmarkStart w:id="713" w:name="_0c9d6291f89426540b7e5dbe9c53aa18"/>
    <w:bookmarkStart w:id="714" w:name="_c123184037d520044e86fb294c6e8c60"/>
    <w:p>
      <w:pPr>
        <w:pStyle w:val="Heading4"/>
        <w:keepNext/>
      </w:pPr>
      <w:r>
        <w:t>Durata media crediti commerciali</w:t>
      </w:r>
    </w:p>
    <w:p>
      <w:pPr>
        <w:pStyle w:val="BodyText"/>
        <w:ind w:leftChars="0" w:left="0" w:right="0"/>
      </w:pPr>
      <w:r>
        <w:t>L'</w:t>
      </w:r>
      <w:hyperlink xmlns:r="http://schemas.openxmlformats.org/officeDocument/2006/relationships" r:id="rId210">
        <w:r>
          <w:rPr>
            <w:rStyle w:val="Hyperlink"/>
          </w:rPr>
          <w:t>indice di durata media dei crediti commerciali</w:t>
        </w:r>
      </w:hyperlink>
      <w:r>
        <w:t xml:space="preserve"> consente di calcolare il numero di giorni che trascorrono tra il momento in cui la </w:t>
      </w:r>
      <w:r>
        <w:rPr>
          <w:i/>
          <w:iCs/>
        </w:rPr>
        <w:t>Società</w:t>
      </w:r>
      <w:r>
        <w:t xml:space="preserve"> rileva un ricavo e il momento in cui incassa effettivamente il pagamento, inclusa l’IVA. Questo indice è fondamentale per valutare l’efficienza della </w:t>
      </w:r>
      <w:r>
        <w:rPr>
          <w:i/>
          <w:iCs/>
        </w:rPr>
        <w:t>Società</w:t>
      </w:r>
      <w:r>
        <w:t xml:space="preserve"> nella gestione dei suoi crediti commerciali e nel convertire le vendite in flussi di cassa positivi.</w:t>
      </w:r>
    </w:p>
    <w:p>
      <w:pPr>
        <w:pStyle w:val="MathBlock"/>
        <w:ind w:leftChars="0" w:left="0" w:right="0"/>
      </w:pPr>
      <m:oMathPara xmlns:m="http://schemas.openxmlformats.org/officeDocument/2006/math">
        <m:oMathParaPr>
          <m:jc m:val="center"/>
        </m:oMathParaPr>
        <m:oMath>
          <m:r>
            <m:t>i_\textrm{ durata crediti } = \frac{ C_\textrm{ commerciali } }{ R_\textrm{ netti } } \cdot 365</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C_\textrm{ commerciali }</m:t>
        </m:r>
      </m:oMath>
      <w:r>
        <w:t>: Crediti di natura commerciale</w:t>
      </w:r>
    </w:p>
    <w:p>
      <w:pPr>
        <w:pStyle w:val="ListBullet"/>
        <w:numPr>
          <w:ilvl w:val="0"/>
          <w:numId w:val="2"/>
        </w:numPr>
        <w:ind w:leftChars="0" w:left="480" w:right="0"/>
      </w:pPr>
      <m:oMath xmlns:m="http://schemas.openxmlformats.org/officeDocument/2006/math">
        <m:r>
          <m:t>R_\textrm{ netti }</m:t>
        </m:r>
      </m:oMath>
      <w:r>
        <w:t>: Fatturato netto</w:t>
      </w:r>
    </w:p>
    <w:p>
      <w:pPr>
        <w:pStyle w:val="BodyText"/>
        <w:ind w:leftChars="0" w:left="0" w:right="0"/>
      </w:pPr>
      <w:r>
        <w:t xml:space="preserve">Il suo valore ottimale può variare in base alle specifiche caratteristiche del settore in cui la </w:t>
      </w:r>
      <w:r>
        <w:rPr>
          <w:i/>
          <w:iCs/>
        </w:rPr>
        <w:t>Società</w:t>
      </w:r>
      <w:r>
        <w:t xml:space="preserve"> opera. In generale, un valore più basso dell’indice indica una maggiore efficienza nel processo di incasso dei crediti commerciali, il che è spesso associato a una migliore liquidità e a una gestione finanziaria più robusta. Tuttavia, l’ottimizzazione di questo indice deve essere bilanciata con la necessità di mantenere relazioni commerciali solide e costruttive con i clienti. Un eccessivo stringere delle tempistiche di pagamento potrebbe comportare tensioni nelle relazioni commerciali e influire negativamente sulla reputazione della </w:t>
      </w:r>
      <w:r>
        <w:rPr>
          <w:i/>
          <w:iCs/>
        </w:rPr>
        <w:t>Società</w:t>
      </w:r>
      <w:r>
        <w:t xml:space="preserve">. Pertanto, una valutazione accurata dell’indice richiede una comprensione approfondita del contesto specifico della </w:t>
      </w:r>
      <w:r>
        <w:rPr>
          <w:i/>
          <w:iCs/>
        </w:rPr>
        <w:t>Società</w:t>
      </w:r>
      <w:r>
        <w:t>, delle esigenze dei clienti e delle dinamiche del settore.</w:t>
      </w:r>
    </w:p>
    <w:bookmarkEnd w:id="713"/>
    <w:bookmarkEnd w:id="714"/>
    <w:bookmarkStart w:id="715" w:name="_be4b495d0cd36cb4efa3c01b95859275"/>
    <w:bookmarkStart w:id="716" w:name="_966c15dd9d8d5d5b71ade8df04354fdd"/>
    <w:p>
      <w:pPr>
        <w:pStyle w:val="Heading4"/>
        <w:keepNext/>
      </w:pPr>
      <w:r>
        <w:t>Durata media debiti commerciali</w:t>
      </w:r>
    </w:p>
    <w:p>
      <w:pPr>
        <w:pStyle w:val="BodyText"/>
        <w:ind w:leftChars="0" w:left="0" w:right="0"/>
      </w:pPr>
      <w:r>
        <w:t>L'</w:t>
      </w:r>
      <w:hyperlink xmlns:r="http://schemas.openxmlformats.org/officeDocument/2006/relationships" r:id="rId211">
        <w:r>
          <w:rPr>
            <w:rStyle w:val="Hyperlink"/>
          </w:rPr>
          <w:t>indice di durata media dei debiti commerciali</w:t>
        </w:r>
      </w:hyperlink>
      <w:r>
        <w:t xml:space="preserve"> consente di calcolare il numero di giorni che trascorrono tra il momento in cui la </w:t>
      </w:r>
      <w:r>
        <w:rPr>
          <w:i/>
          <w:iCs/>
        </w:rPr>
        <w:t>Società</w:t>
      </w:r>
      <w:r>
        <w:t xml:space="preserve"> rileva un costo e il momento in cui effettua effettivamente il pagamento, inclusa l’IVA. Questo indice è utile per valutare la gestione dei debiti commerciali e il rapporto con i fornitori.</w:t>
      </w:r>
    </w:p>
    <w:p>
      <w:pPr>
        <w:pStyle w:val="MathBlock"/>
        <w:ind w:leftChars="0" w:left="0" w:right="0"/>
      </w:pPr>
      <m:oMathPara xmlns:m="http://schemas.openxmlformats.org/officeDocument/2006/math">
        <m:oMathParaPr>
          <m:jc m:val="center"/>
        </m:oMathParaPr>
        <m:oMath>
          <m:r>
            <m:t>i_\textrm{ durata debiti } = \frac{ D_\textrm{ commerciali } }{ M_\textrm{ prime }+ Ct_\textrm{ servizi } } \cdot 365</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D_\textrm{ commerciali }</m:t>
        </m:r>
      </m:oMath>
      <w:r>
        <w:t>: Debiti di natura commerciale</w:t>
      </w:r>
    </w:p>
    <w:p>
      <w:pPr>
        <w:pStyle w:val="ListBullet"/>
        <w:numPr>
          <w:ilvl w:val="0"/>
          <w:numId w:val="2"/>
        </w:numPr>
        <w:ind w:leftChars="0" w:left="480" w:right="0"/>
      </w:pPr>
      <m:oMath xmlns:m="http://schemas.openxmlformats.org/officeDocument/2006/math">
        <m:r>
          <m:t>M_\textrm{ prime }</m:t>
        </m:r>
      </m:oMath>
      <w:r>
        <w:t>: Costi derivanti dall’acquisto di materie prime, sussidiarie, di consumo e di merci</w:t>
      </w:r>
    </w:p>
    <w:p>
      <w:pPr>
        <w:pStyle w:val="ListBullet"/>
        <w:numPr>
          <w:ilvl w:val="0"/>
          <w:numId w:val="2"/>
        </w:numPr>
        <w:ind w:leftChars="0" w:left="480" w:right="0"/>
      </w:pPr>
      <m:oMath xmlns:m="http://schemas.openxmlformats.org/officeDocument/2006/math">
        <m:r>
          <m:t>Ct_\textrm{ servizi }</m:t>
        </m:r>
      </m:oMath>
      <w:r>
        <w:t>: Costi derivanti dall’acquisizione di servizi</w:t>
      </w:r>
    </w:p>
    <w:p>
      <w:pPr>
        <w:pStyle w:val="BodyText"/>
        <w:ind w:leftChars="0" w:left="0" w:right="0"/>
      </w:pPr>
      <w:r>
        <w:t xml:space="preserve">Il suo valore ottimale può variare in base alle specifiche caratteristiche del settore in cui la </w:t>
      </w:r>
      <w:r>
        <w:rPr>
          <w:i/>
          <w:iCs/>
        </w:rPr>
        <w:t>Società</w:t>
      </w:r>
      <w:r>
        <w:t xml:space="preserve"> opera. In generale, un valore più alto dell’indice suggerisce una maggiore forza commerciale, poiché la </w:t>
      </w:r>
      <w:r>
        <w:rPr>
          <w:i/>
          <w:iCs/>
        </w:rPr>
        <w:t>Società</w:t>
      </w:r>
      <w:r>
        <w:t xml:space="preserve"> è in grado di posticipare i pagamenti e gestire in modo efficace le proprie passività commerciali. Tuttavia, è importante notare che valori significativamente elevati potrebbero indicare difficoltà nel pagamento dei fornitori, il che potrebbe comportare problemi di credibilità e relazioni commerciali tese. Pertanto, una valutazione accurata dell’indice richiede un equilibrio tra la gestione efficiente delle passività e il mantenimento di buone relazioni con i fornitori, considerando le esigenze specifiche della </w:t>
      </w:r>
      <w:r>
        <w:rPr>
          <w:i/>
          <w:iCs/>
        </w:rPr>
        <w:t>Società</w:t>
      </w:r>
      <w:r>
        <w:t xml:space="preserve"> e le dinamiche del settore in cui essa opera.</w:t>
      </w:r>
    </w:p>
    <w:bookmarkEnd w:id="715"/>
    <w:bookmarkEnd w:id="716"/>
    <w:bookmarkStart w:id="717" w:name="_567eca9fcf93308a03818b24037cdee3"/>
    <w:bookmarkStart w:id="718" w:name="_14f59df4f37a8c0379d31eb4ef4166f9"/>
    <w:p>
      <w:pPr>
        <w:pStyle w:val="Heading4"/>
        <w:keepNext/>
      </w:pPr>
      <w:r>
        <w:t>Durata media delle scorte di magazzino</w:t>
      </w:r>
    </w:p>
    <w:p>
      <w:pPr>
        <w:pStyle w:val="BodyText"/>
        <w:ind w:leftChars="0" w:left="0" w:right="0"/>
      </w:pPr>
      <w:r>
        <w:t>L'</w:t>
      </w:r>
      <w:hyperlink xmlns:r="http://schemas.openxmlformats.org/officeDocument/2006/relationships" r:id="rId212">
        <w:r>
          <w:rPr>
            <w:rStyle w:val="Hyperlink"/>
          </w:rPr>
          <w:t>indice di durata media delle scorte di magazzino</w:t>
        </w:r>
      </w:hyperlink>
      <w:r>
        <w:t xml:space="preserve"> consente di calcolare il numero di giorni in cui le materie prime o le merci rimangono in magazzino prima di essere utilizzate per la produzione o vendute. Questo indice è uno strumento fondamentale per valutare l’efficienza della </w:t>
      </w:r>
      <w:r>
        <w:rPr>
          <w:i/>
          <w:iCs/>
        </w:rPr>
        <w:t>Società</w:t>
      </w:r>
      <w:r>
        <w:t xml:space="preserve"> nella gestione delle sue scorte.</w:t>
      </w:r>
    </w:p>
    <w:p>
      <w:pPr>
        <w:pStyle w:val="MathBlock"/>
        <w:ind w:leftChars="0" w:left="0" w:right="0"/>
      </w:pPr>
      <m:oMathPara xmlns:m="http://schemas.openxmlformats.org/officeDocument/2006/math">
        <m:oMathParaPr>
          <m:jc m:val="center"/>
        </m:oMathParaPr>
        <m:oMath>
          <m:r>
            <m:t>i_\textrm{ durata rimanenze } = \frac{ Rim }{ M_\textrm{ prime } } \cdot 365</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Rim</m:t>
        </m:r>
      </m:oMath>
      <w:r>
        <w:t>: Rimanenze</w:t>
      </w:r>
    </w:p>
    <w:p>
      <w:pPr>
        <w:pStyle w:val="ListBullet"/>
        <w:numPr>
          <w:ilvl w:val="0"/>
          <w:numId w:val="2"/>
        </w:numPr>
        <w:ind w:leftChars="0" w:left="480" w:right="0"/>
      </w:pPr>
      <m:oMath xmlns:m="http://schemas.openxmlformats.org/officeDocument/2006/math">
        <m:r>
          <m:t>M_\textrm{ prime }</m:t>
        </m:r>
      </m:oMath>
      <w:r>
        <w:t>: Costi derivanti dall’acquisto di materie prime, sussidiarie, di consumo e di merci</w:t>
      </w:r>
    </w:p>
    <w:p>
      <w:pPr>
        <w:pStyle w:val="BodyText"/>
        <w:ind w:leftChars="0" w:left="0" w:right="0"/>
      </w:pPr>
      <w:r>
        <w:t xml:space="preserve">Il suo valore ottimale può variare in base alle specifiche caratteristiche del settore in cui la </w:t>
      </w:r>
      <w:r>
        <w:rPr>
          <w:i/>
          <w:iCs/>
        </w:rPr>
        <w:t>Società</w:t>
      </w:r>
      <w:r>
        <w:t xml:space="preserve"> opera. In generale, un valore più basso dell’indice indica una maggiore efficienza nella gestione delle scorte, poiché la </w:t>
      </w:r>
      <w:r>
        <w:rPr>
          <w:i/>
          <w:iCs/>
        </w:rPr>
        <w:t>Società</w:t>
      </w:r>
      <w:r>
        <w:t xml:space="preserve"> riesce a utilizzare rapidamente le materie prime o a vendere i prodotti, riducendo così il rischio di obsolescenza o deterioramento. Tuttavia, è importante notare che un valore eccessivamente basso dell’indice potrebbe comportare problemi di disponibilità dei prodotti o delle materie prime, il che potrebbe influenzare negativamente la capacità della </w:t>
      </w:r>
      <w:r>
        <w:rPr>
          <w:i/>
          <w:iCs/>
        </w:rPr>
        <w:t>Società</w:t>
      </w:r>
      <w:r>
        <w:t xml:space="preserve"> di soddisfare la domanda dei clienti. Pertanto, una valutazione accurata dell’indice richiede un equilibrio tra efficienza nella gestione delle scorte e la capacità di mantenere un adeguato livello di disponibilità per supportare le operazioni aziendali. Questo bilanciamento dipenderà dalle esigenze specifiche della </w:t>
      </w:r>
      <w:r>
        <w:rPr>
          <w:i/>
          <w:iCs/>
        </w:rPr>
        <w:t>Società</w:t>
      </w:r>
      <w:r>
        <w:t xml:space="preserve"> e dalle dinamiche del settore in cui essa opera.</w:t>
      </w:r>
    </w:p>
    <w:bookmarkEnd w:id="717"/>
    <w:bookmarkEnd w:id="718"/>
    <w:bookmarkStart w:id="719" w:name="_cd9b282ba76dd14dd4ae9f2848c7d73e"/>
    <w:bookmarkStart w:id="720" w:name="_3584a08a3c17bbfa0d9e4cb133957995"/>
    <w:p>
      <w:pPr>
        <w:pStyle w:val="Heading4"/>
        <w:keepNext/>
      </w:pPr>
      <w:r>
        <w:t>Durata media ciclo commerciale</w:t>
      </w:r>
    </w:p>
    <w:p>
      <w:pPr>
        <w:pStyle w:val="BodyText"/>
        <w:ind w:leftChars="0" w:left="0" w:right="0"/>
      </w:pPr>
      <w:r>
        <w:t>L'</w:t>
      </w:r>
      <w:hyperlink xmlns:r="http://schemas.openxmlformats.org/officeDocument/2006/relationships" r:id="rId213">
        <w:r>
          <w:rPr>
            <w:rStyle w:val="Hyperlink"/>
          </w:rPr>
          <w:t>indice di durata media del ciclo commerciale</w:t>
        </w:r>
      </w:hyperlink>
      <w:r>
        <w:t xml:space="preserve"> consente di calcolare il numero di giorni che intercorrono tra il momento in cui la </w:t>
      </w:r>
      <w:r>
        <w:rPr>
          <w:i/>
          <w:iCs/>
        </w:rPr>
        <w:t>Società</w:t>
      </w:r>
      <w:r>
        <w:t xml:space="preserve"> effettua un pagamento e il momento in cui incassa un pagamento. Questo indice è utile per valutare l’efficienza del ciclo commerciale della </w:t>
      </w:r>
      <w:r>
        <w:rPr>
          <w:i/>
          <w:iCs/>
        </w:rPr>
        <w:t>Società</w:t>
      </w:r>
      <w:r>
        <w:t>, poiché riflette quanto rapidamente essa può convertire i suoi investimenti in capitale circolante in flussi di cassa positivi.</w:t>
      </w:r>
    </w:p>
    <w:p>
      <w:pPr>
        <w:pStyle w:val="MathBlock"/>
        <w:ind w:leftChars="0" w:left="0" w:right="0"/>
      </w:pPr>
      <m:oMathPara xmlns:m="http://schemas.openxmlformats.org/officeDocument/2006/math">
        <m:oMathParaPr>
          <m:jc m:val="center"/>
        </m:oMathParaPr>
        <m:oMath>
          <m:r>
            <m:t>i_\textrm{ durata ciclo commerciale } = i_\textrm{ durata rimanenze }+ i_\textrm{ durata crediti } - i_\textrm{ durata debiti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i_\textrm{ durata rimanenze }</m:t>
        </m:r>
      </m:oMath>
      <w:r>
        <w:t>: Durata media delle scorte di magazzino</w:t>
      </w:r>
    </w:p>
    <w:p>
      <w:pPr>
        <w:pStyle w:val="ListBullet"/>
        <w:numPr>
          <w:ilvl w:val="0"/>
          <w:numId w:val="2"/>
        </w:numPr>
        <w:ind w:leftChars="0" w:left="480" w:right="0"/>
      </w:pPr>
      <m:oMath xmlns:m="http://schemas.openxmlformats.org/officeDocument/2006/math">
        <m:r>
          <m:t>i_\textrm{ durata crediti }</m:t>
        </m:r>
      </m:oMath>
      <w:r>
        <w:t>: Durata media crediti commerciali</w:t>
      </w:r>
    </w:p>
    <w:p>
      <w:pPr>
        <w:pStyle w:val="ListBullet"/>
        <w:numPr>
          <w:ilvl w:val="0"/>
          <w:numId w:val="2"/>
        </w:numPr>
        <w:ind w:leftChars="0" w:left="480" w:right="0"/>
      </w:pPr>
      <m:oMath xmlns:m="http://schemas.openxmlformats.org/officeDocument/2006/math">
        <m:r>
          <m:t>i_\textrm{ durata debiti }</m:t>
        </m:r>
      </m:oMath>
      <w:r>
        <w:t>: Durata media debiti commerciali</w:t>
      </w:r>
    </w:p>
    <w:p>
      <w:pPr>
        <w:pStyle w:val="BodyText"/>
        <w:ind w:leftChars="0" w:left="0" w:right="0"/>
      </w:pPr>
      <w:r>
        <w:t xml:space="preserve">Il suo valore ottimale può variare in base alle specifiche caratteristiche del settore in cui opera la </w:t>
      </w:r>
      <w:r>
        <w:rPr>
          <w:i/>
          <w:iCs/>
        </w:rPr>
        <w:t>Società</w:t>
      </w:r>
      <w:r>
        <w:t xml:space="preserve">. In generale, un valore più basso dell’indice indica una maggiore efficienza nel ciclo commerciale, poiché la </w:t>
      </w:r>
      <w:r>
        <w:rPr>
          <w:i/>
          <w:iCs/>
        </w:rPr>
        <w:t>Società</w:t>
      </w:r>
      <w:r>
        <w:t xml:space="preserve"> è in grado di raccogliere rapidamente i pagamenti dai clienti e di gestire i suoi impegni finanziari con i fornitori. Tuttavia, è importante notare che valori significativamente bassi o negativi potrebbero indicare difficoltà nel pagamento dei fornitori, il che potrebbe comportare problemi di credibilità e relazioni commerciali. Pertanto, una valutazione accurata dell’indice di durata media del ciclo commerciale richiede un equilibrio tra efficienza e solidità finanziaria, tenendo conto del contesto specifico della </w:t>
      </w:r>
      <w:r>
        <w:rPr>
          <w:i/>
          <w:iCs/>
        </w:rPr>
        <w:t>Società</w:t>
      </w:r>
      <w:r>
        <w:t xml:space="preserve"> e delle sue esigenze di gestione del capitale circolante.</w:t>
      </w:r>
    </w:p>
    <w:bookmarkEnd w:id="719"/>
    <w:bookmarkEnd w:id="720"/>
    <w:bookmarkStart w:id="721" w:name="_2ec938134da17f1dc83bbe1497edc515"/>
    <w:bookmarkStart w:id="722" w:name="_a4fb009a8595d9dd48ac285f8907c45a"/>
    <w:p>
      <w:pPr>
        <w:pStyle w:val="Heading4"/>
        <w:keepNext/>
      </w:pPr>
      <w:r>
        <w:t>Cash coverage delle passività correnti</w:t>
      </w:r>
    </w:p>
    <w:p>
      <w:pPr>
        <w:pStyle w:val="BodyText"/>
        <w:ind w:leftChars="0" w:left="0" w:right="0"/>
      </w:pPr>
      <w:r>
        <w:t xml:space="preserve">Il </w:t>
      </w:r>
      <w:hyperlink xmlns:r="http://schemas.openxmlformats.org/officeDocument/2006/relationships" r:id="rId214">
        <w:r>
          <w:rPr>
            <w:rStyle w:val="Hyperlink"/>
          </w:rPr>
          <w:t>Cash coverage delle passività correnti</w:t>
        </w:r>
      </w:hyperlink>
      <w:r>
        <w:t xml:space="preserve"> consente di valutare la capacità di far fronte all’indebitamento corrente utilizzando esclusivamente le disponibilità liquide. L’indice può essere utilizzato per valutare il grado di rischio associato all’indebitamento della </w:t>
      </w:r>
      <w:r>
        <w:rPr>
          <w:i/>
          <w:iCs/>
        </w:rPr>
        <w:t>Società</w:t>
      </w:r>
      <w:r>
        <w:t xml:space="preserve"> in situazioni finanziarie critiche.</w:t>
      </w:r>
    </w:p>
    <w:p>
      <w:pPr>
        <w:pStyle w:val="MathBlock"/>
        <w:ind w:leftChars="0" w:left="0" w:right="0"/>
      </w:pPr>
      <m:oMathPara xmlns:m="http://schemas.openxmlformats.org/officeDocument/2006/math">
        <m:oMathParaPr>
          <m:jc m:val="center"/>
        </m:oMathParaPr>
        <m:oMath>
          <m:r>
            <m:t>i_\textrm{ cash coverage debiti breve } = \frac{ Afin_\textrm{ breve } }{ P_\textrm{ breve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Afin_\textrm{ breve }</m:t>
        </m:r>
      </m:oMath>
      <w:r>
        <w:t>: Attivo corrente di natura finanziaria</w:t>
      </w:r>
    </w:p>
    <w:p>
      <w:pPr>
        <w:pStyle w:val="ListBullet"/>
        <w:numPr>
          <w:ilvl w:val="0"/>
          <w:numId w:val="2"/>
        </w:numPr>
        <w:ind w:leftChars="0" w:left="480" w:right="0"/>
      </w:pPr>
      <m:oMath xmlns:m="http://schemas.openxmlformats.org/officeDocument/2006/math">
        <m:r>
          <m:t>P_\textrm{ breve }</m:t>
        </m:r>
      </m:oMath>
      <w:r>
        <w:t>: Passivo corrente</w:t>
      </w:r>
    </w:p>
    <w:p>
      <w:pPr>
        <w:pStyle w:val="BodyText"/>
        <w:ind w:leftChars="0" w:left="0" w:right="0"/>
      </w:pPr>
      <w:r>
        <w:t xml:space="preserve">Il suo valore ottimale può variare in base alle specifiche caratteristiche del settore in cui opera la </w:t>
      </w:r>
      <w:r>
        <w:rPr>
          <w:i/>
          <w:iCs/>
        </w:rPr>
        <w:t>Società</w:t>
      </w:r>
      <w:r>
        <w:t xml:space="preserve">. In generale, un valore più elevato dell’indice dimostra una maggiore capacità di far fronte agli obblighi finanziari a breve termine, poiché significa che la </w:t>
      </w:r>
      <w:r>
        <w:rPr>
          <w:i/>
          <w:iCs/>
        </w:rPr>
        <w:t>Società</w:t>
      </w:r>
      <w:r>
        <w:t xml:space="preserve"> ha risorse liquide sufficienti per coprire completamente tali passività. Tuttavia, è importante notare che il valore ottimale può dipendere anche dalla politica finanziaria della </w:t>
      </w:r>
      <w:r>
        <w:rPr>
          <w:i/>
          <w:iCs/>
        </w:rPr>
        <w:t>Società</w:t>
      </w:r>
      <w:r>
        <w:t xml:space="preserve"> e dalle sue strategie di gestione della liquidità. Ad esempio, alcune aziende possono preferire un Cash coverage più conservativo per mitigare i rischi finanziari, mentre altre potrebbero optare per un utilizzo più efficiente delle risorse liquide. Pertanto, una valutazione accurata dell’indice richiede una comprensione approfondita delle specifiche esigenze finanziarie della </w:t>
      </w:r>
      <w:r>
        <w:rPr>
          <w:i/>
          <w:iCs/>
        </w:rPr>
        <w:t>Società</w:t>
      </w:r>
      <w:r>
        <w:t xml:space="preserve"> e delle dinamiche del settore.</w:t>
      </w:r>
    </w:p>
    <w:bookmarkEnd w:id="721"/>
    <w:bookmarkEnd w:id="722"/>
    <w:bookmarkStart w:id="723" w:name="_fd2d00671be5caca3a5bc79698bf3cd0"/>
    <w:bookmarkStart w:id="724" w:name="_cb4112f4b4c836d04d4dea0c70d74dea"/>
    <w:p>
      <w:pPr>
        <w:pStyle w:val="Heading4"/>
        <w:keepNext/>
      </w:pPr>
      <w:r>
        <w:t>Cash coverage dei ricavi</w:t>
      </w:r>
    </w:p>
    <w:p>
      <w:pPr>
        <w:pStyle w:val="BodyText"/>
        <w:ind w:leftChars="0" w:left="0" w:right="0"/>
      </w:pPr>
      <w:r>
        <w:t xml:space="preserve">Il </w:t>
      </w:r>
      <w:hyperlink xmlns:r="http://schemas.openxmlformats.org/officeDocument/2006/relationships" r:id="rId215">
        <w:r>
          <w:rPr>
            <w:rStyle w:val="Hyperlink"/>
          </w:rPr>
          <w:t>Cash coverage dei ricavi</w:t>
        </w:r>
      </w:hyperlink>
      <w:r>
        <w:t xml:space="preserve"> è un indice astratto che consente di misurare la capacità della </w:t>
      </w:r>
      <w:r>
        <w:rPr>
          <w:i/>
          <w:iCs/>
        </w:rPr>
        <w:t>Società</w:t>
      </w:r>
      <w:r>
        <w:t xml:space="preserve"> di convertire i suoi ricavi in liquidità. Questo indice fornisce un’indicazione della capacità di generare flussi di cassa positivi in relazione ai ricavi generati.</w:t>
      </w:r>
    </w:p>
    <w:p>
      <w:pPr>
        <w:pStyle w:val="MathBlock"/>
        <w:ind w:leftChars="0" w:left="0" w:right="0"/>
      </w:pPr>
      <m:oMathPara xmlns:m="http://schemas.openxmlformats.org/officeDocument/2006/math">
        <m:oMathParaPr>
          <m:jc m:val="center"/>
        </m:oMathParaPr>
        <m:oMath>
          <m:r>
            <m:t>i_\textrm{ cash coverage fatturato } = \frac{ Afin_\textrm{ breve } }{ R_\textrm{ netti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Afin_\textrm{ breve }</m:t>
        </m:r>
      </m:oMath>
      <w:r>
        <w:t>: Attivo corrente di natura finanziaria</w:t>
      </w:r>
    </w:p>
    <w:p>
      <w:pPr>
        <w:pStyle w:val="ListBullet"/>
        <w:numPr>
          <w:ilvl w:val="0"/>
          <w:numId w:val="2"/>
        </w:numPr>
        <w:ind w:leftChars="0" w:left="480" w:right="0"/>
      </w:pPr>
      <m:oMath xmlns:m="http://schemas.openxmlformats.org/officeDocument/2006/math">
        <m:r>
          <m:t>R_\textrm{ netti }</m:t>
        </m:r>
      </m:oMath>
      <w:r>
        <w:t>: Fatturato netto</w:t>
      </w:r>
    </w:p>
    <w:p>
      <w:pPr>
        <w:pStyle w:val="BodyText"/>
        <w:ind w:leftChars="0" w:left="0" w:right="0"/>
      </w:pPr>
      <w:r>
        <w:t xml:space="preserve">Il suo valore ottimale può variare in base alle specifiche caratteristiche del settore in cui la </w:t>
      </w:r>
      <w:r>
        <w:rPr>
          <w:i/>
          <w:iCs/>
        </w:rPr>
        <w:t>Società</w:t>
      </w:r>
      <w:r>
        <w:t xml:space="preserve"> opera. In generale, un valore più elevato dell’indice suggerisce una maggiore capacità di trasformare i ricavi in liquidità, il che è spesso associato a una gestione finanziaria più efficiente. Tuttavia, è importante notare che il valore ottimale può essere influenzato da vari fattori, tra cui la struttura dei costi della </w:t>
      </w:r>
      <w:r>
        <w:rPr>
          <w:i/>
          <w:iCs/>
        </w:rPr>
        <w:t>Società</w:t>
      </w:r>
      <w:r>
        <w:t xml:space="preserve">, i termini di pagamento dei clienti e dei fornitori, e la strategia finanziaria adottata. Pertanto, una valutazione accurata dell’indice richiede una comprensione approfondita delle dinamiche finanziarie specifiche della </w:t>
      </w:r>
      <w:r>
        <w:rPr>
          <w:i/>
          <w:iCs/>
        </w:rPr>
        <w:t>Società</w:t>
      </w:r>
      <w:r>
        <w:t xml:space="preserve"> e delle esigenze del settore di riferimento.</w:t>
      </w:r>
    </w:p>
    <w:bookmarkEnd w:id="723"/>
    <w:bookmarkEnd w:id="724"/>
    <w:bookmarkEnd w:id="708"/>
    <w:bookmarkEnd w:id="685"/>
    <w:bookmarkStart w:id="725" w:name="_638113ce76d69484ab20b1177bf7f60d"/>
    <w:p>
      <w:pPr>
        <w:pStyle w:val="Heading2"/>
        <w:keepNext/>
      </w:pPr>
      <w:r>
        <w:t>Indici della crisi</w:t>
      </w:r>
    </w:p>
    <w:bookmarkStart w:id="726" w:name="_9d9802c7731c16dc3f93cb3ea2c0f6a7"/>
    <w:p>
      <w:pPr>
        <w:pStyle w:val="Heading3"/>
        <w:keepNext/>
      </w:pPr>
      <w:r>
        <w:t>Livello 1</w:t>
      </w:r>
    </w:p>
    <w:bookmarkStart w:id="727" w:name="_f05b67953e7fb15fc65a3d8350867dc3"/>
    <w:bookmarkStart w:id="728" w:name="_b3b6f5dec888d8f7aea7470d55bad2bb"/>
    <w:p>
      <w:pPr>
        <w:pStyle w:val="Heading4"/>
        <w:keepNext/>
      </w:pPr>
      <w:r>
        <w:t>Patrimonio netto negativo</w:t>
      </w:r>
    </w:p>
    <w:p>
      <w:pPr>
        <w:pStyle w:val="BodyText"/>
        <w:ind w:leftChars="0" w:left="0" w:right="0"/>
      </w:pPr>
      <w:r>
        <w:t xml:space="preserve">È un </w:t>
      </w:r>
      <w:hyperlink xmlns:r="http://schemas.openxmlformats.org/officeDocument/2006/relationships" r:id="rId216">
        <w:r>
          <w:rPr>
            <w:rStyle w:val="Hyperlink"/>
          </w:rPr>
          <w:t>indice di crisi</w:t>
        </w:r>
      </w:hyperlink>
      <w:r>
        <w:t xml:space="preserve"> che trova applicazione in presenza di un patrimonio netto negativo o, per le società di capitali, al di sotto del limite di legge.</w:t>
      </w:r>
    </w:p>
    <w:p>
      <w:pPr>
        <w:pStyle w:val="MathBlock"/>
        <w:ind w:leftChars="0" w:left="0" w:right="0"/>
      </w:pPr>
      <m:oMathPara xmlns:m="http://schemas.openxmlformats.org/officeDocument/2006/math">
        <m:oMathParaPr>
          <m:jc m:val="center"/>
        </m:oMathParaPr>
        <m:oMath>
          <m:r>
            <m:t>i_\textrm{ PN negativo } = PN- C_\textrm{ soci }- Ris_\textrm{ copertura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PN</m:t>
        </m:r>
      </m:oMath>
      <w:r>
        <w:t>: Patrimonio netto</w:t>
      </w:r>
    </w:p>
    <w:p>
      <w:pPr>
        <w:pStyle w:val="ListBullet"/>
        <w:numPr>
          <w:ilvl w:val="0"/>
          <w:numId w:val="2"/>
        </w:numPr>
        <w:ind w:leftChars="0" w:left="480" w:right="0"/>
      </w:pPr>
      <m:oMath xmlns:m="http://schemas.openxmlformats.org/officeDocument/2006/math">
        <m:r>
          <m:t>C_\textrm{ soci }</m:t>
        </m:r>
      </m:oMath>
      <w:r>
        <w:t>: Crediti verso soci per versamenti ancora dovuti</w:t>
      </w:r>
    </w:p>
    <w:p>
      <w:pPr>
        <w:pStyle w:val="ListBullet"/>
        <w:numPr>
          <w:ilvl w:val="0"/>
          <w:numId w:val="2"/>
        </w:numPr>
        <w:ind w:leftChars="0" w:left="480" w:right="0"/>
      </w:pPr>
      <m:oMath xmlns:m="http://schemas.openxmlformats.org/officeDocument/2006/math">
        <m:r>
          <m:t>Ris_\textrm{ copertura }</m:t>
        </m:r>
      </m:oMath>
      <w:r>
        <w:t>: Riserva per operazioni di copertura dei flussi finanziari attesi</w:t>
      </w:r>
    </w:p>
    <w:p>
      <w:pPr>
        <w:pStyle w:val="BodyText"/>
        <w:ind w:leftChars="0" w:left="0" w:right="0"/>
      </w:pPr>
      <w:r>
        <w:t>Il patrimonio netto diviene negativo o scende sotto il limite legale per effetto di perdite di esercizio, anche cumulate e rappresenta causa di scioglimento della società di capitali. Indipendentemente dalla situazione finanziaria, tale circostanza costituisce quindi un pregiudizio alla continuità aziendale, fino a quando le perdite non siano state ripianate e il capitale sociale riportato almeno al limite legale. Il fatto che il patrimonio netto sia divenuto negativo può essere superato da una ricapitalizzazione. Ai fini segnaletici è ammessa la prova contraria dell’assunzione di provvedimenti di ricostituzione del patrimonio al minimo legale.</w:t>
      </w:r>
    </w:p>
    <w:bookmarkEnd w:id="727"/>
    <w:bookmarkEnd w:id="728"/>
    <w:bookmarkEnd w:id="726"/>
    <w:bookmarkStart w:id="729" w:name="_28c866ac01cf47163dd2e4fb7ab12887"/>
    <w:p>
      <w:pPr>
        <w:pStyle w:val="Heading3"/>
        <w:keepNext/>
      </w:pPr>
      <w:r>
        <w:t>Livello 2</w:t>
      </w:r>
    </w:p>
    <w:bookmarkStart w:id="730" w:name="_e96bce8724c15d0b798670d946704532"/>
    <w:bookmarkStart w:id="731" w:name="_28e96510d3909a93c03af9af5572a724"/>
    <w:p>
      <w:pPr>
        <w:pStyle w:val="Heading4"/>
        <w:keepNext/>
      </w:pPr>
      <w:r>
        <w:t>Debt service coverage ratio</w:t>
      </w:r>
    </w:p>
    <w:p>
      <w:pPr>
        <w:pStyle w:val="BodyText"/>
        <w:ind w:leftChars="0" w:left="0" w:right="0"/>
      </w:pPr>
      <w:r>
        <w:t xml:space="preserve">Il DSCR è un </w:t>
      </w:r>
      <w:hyperlink xmlns:r="http://schemas.openxmlformats.org/officeDocument/2006/relationships" r:id="rId216">
        <w:r>
          <w:rPr>
            <w:rStyle w:val="Hyperlink"/>
          </w:rPr>
          <w:t>indice di crisi</w:t>
        </w:r>
      </w:hyperlink>
      <w:r>
        <w:t xml:space="preserve"> che trova applicazione in presenza difficoltà nella copertura degli obblighi finanziari, inclusi gli interessi e il rimborso del capitale, con i flussi di cassa di natura operativa. Diversamente da quanto prescritto dal CNDCEC, il DSCR non è calcolato utilizzando valori a preventivo, bensì utilizzando valori a consuntivo. Nello specifico, è calcolato come rapporto tra i flussi di cassa operativi del periodo di riferimento e il rimborso dei debiti finanziari previsti nello stesso arco temporale.</w:t>
      </w:r>
    </w:p>
    <w:p>
      <w:pPr>
        <w:pStyle w:val="MathBlock"/>
        <w:ind w:leftChars="0" w:left="0" w:right="0"/>
      </w:pPr>
      <m:oMathPara xmlns:m="http://schemas.openxmlformats.org/officeDocument/2006/math">
        <m:oMathParaPr>
          <m:jc m:val="center"/>
        </m:oMathParaPr>
        <m:oMath>
          <m:r>
            <m:t>i_\textrm{ DSCR } = \frac{ FCFO_\textrm{ corrente }+ L }{ D_\textrm{ servizio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FCFO_\textrm{ corrente }</m:t>
        </m:r>
      </m:oMath>
      <w:r>
        <w:t>: Flussi di cassa derivanti dall’attività operativa corrente</w:t>
      </w:r>
    </w:p>
    <w:p>
      <w:pPr>
        <w:pStyle w:val="ListBullet"/>
        <w:numPr>
          <w:ilvl w:val="0"/>
          <w:numId w:val="2"/>
        </w:numPr>
        <w:ind w:leftChars="0" w:left="480" w:right="0"/>
      </w:pPr>
      <m:oMath xmlns:m="http://schemas.openxmlformats.org/officeDocument/2006/math">
        <m:r>
          <m:t>L</m:t>
        </m:r>
      </m:oMath>
      <w:r>
        <w:t>: Disponibilità liquide</w:t>
      </w:r>
    </w:p>
    <w:p>
      <w:pPr>
        <w:pStyle w:val="ListBullet"/>
        <w:numPr>
          <w:ilvl w:val="0"/>
          <w:numId w:val="2"/>
        </w:numPr>
        <w:ind w:leftChars="0" w:left="480" w:right="0"/>
      </w:pPr>
      <m:oMath xmlns:m="http://schemas.openxmlformats.org/officeDocument/2006/math">
        <m:r>
          <m:t>D_\textrm{ servizio }</m:t>
        </m:r>
      </m:oMath>
      <w:r>
        <w:t>: Pagamenti relativi ai debiti finanziari</w:t>
      </w:r>
    </w:p>
    <w:p>
      <w:pPr>
        <w:pStyle w:val="BodyText"/>
        <w:ind w:leftChars="0" w:left="0" w:right="0"/>
      </w:pPr>
      <w:r>
        <w:t xml:space="preserve">Valori di tale indice inferiori ad uno potrebbero indicare che la </w:t>
      </w:r>
      <w:r>
        <w:rPr>
          <w:i/>
          <w:iCs/>
        </w:rPr>
        <w:t>Società</w:t>
      </w:r>
      <w:r>
        <w:t xml:space="preserve"> fatica a far fronte ai suoi obblighi finanziari. Questo può portare a ritardi nei pagamenti dei debiti o alla mancata capacità di effettuare pagamenti completi e tempestivi ai creditori. In presenza di un DSCR costantemente basso, è opportuno considerare una ristrutturazione del debito o una revisione della strategia finanziaria.</w:t>
      </w:r>
    </w:p>
    <w:bookmarkEnd w:id="730"/>
    <w:bookmarkEnd w:id="731"/>
    <w:bookmarkEnd w:id="729"/>
    <w:bookmarkStart w:id="732" w:name="_ba6adb3e7dcf79c12b993f423ff4d051"/>
    <w:p>
      <w:pPr>
        <w:pStyle w:val="Heading3"/>
        <w:keepNext/>
      </w:pPr>
      <w:r>
        <w:t>Livello 3</w:t>
      </w:r>
    </w:p>
    <w:bookmarkStart w:id="733" w:name="_67112b3b382883e757e8d443e86b7a9a"/>
    <w:bookmarkStart w:id="734" w:name="_d816b4d9c7e90e83127b1b0676c5e1fc"/>
    <w:p>
      <w:pPr>
        <w:pStyle w:val="Heading4"/>
        <w:keepNext/>
      </w:pPr>
      <w:r>
        <w:t>Indice di liquidità a breve termine</w:t>
      </w:r>
    </w:p>
    <w:p>
      <w:pPr>
        <w:pStyle w:val="BodyText"/>
        <w:ind w:leftChars="0" w:left="0" w:right="0"/>
      </w:pPr>
      <w:r>
        <w:t xml:space="preserve">L’indice di liquidità è un </w:t>
      </w:r>
      <w:hyperlink xmlns:r="http://schemas.openxmlformats.org/officeDocument/2006/relationships" r:id="rId216">
        <w:r>
          <w:rPr>
            <w:rStyle w:val="Hyperlink"/>
          </w:rPr>
          <w:t>indice di crisi</w:t>
        </w:r>
      </w:hyperlink>
      <w:r>
        <w:t xml:space="preserve"> che trova applicazione in presenza di difficoltà nella copertura di obblighi finanziari a breve termine con le attività liquide o facilmente liquidabili. Nello specifico, è calcolato come rapporto tra attività a breve termine e passivo a breve termine.</w:t>
      </w:r>
    </w:p>
    <w:p>
      <w:pPr>
        <w:pStyle w:val="MathBlock"/>
        <w:ind w:leftChars="0" w:left="0" w:right="0"/>
      </w:pPr>
      <m:oMathPara xmlns:m="http://schemas.openxmlformats.org/officeDocument/2006/math">
        <m:oMathParaPr>
          <m:jc m:val="center"/>
        </m:oMathParaPr>
        <m:oMath>
          <m:r>
            <m:t>i_\textrm{ liquidità breve } = \frac{ A_\textrm{ breve } }{ P_\textrm{ breve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A_\textrm{ breve }</m:t>
        </m:r>
      </m:oMath>
      <w:r>
        <w:t>: Attivo corrente</w:t>
      </w:r>
    </w:p>
    <w:p>
      <w:pPr>
        <w:pStyle w:val="ListBullet"/>
        <w:numPr>
          <w:ilvl w:val="0"/>
          <w:numId w:val="2"/>
        </w:numPr>
        <w:ind w:leftChars="0" w:left="480" w:right="0"/>
      </w:pPr>
      <m:oMath xmlns:m="http://schemas.openxmlformats.org/officeDocument/2006/math">
        <m:r>
          <m:t>P_\textrm{ breve }</m:t>
        </m:r>
      </m:oMath>
      <w:r>
        <w:t>: Passivo corrente</w:t>
      </w:r>
    </w:p>
    <w:p>
      <w:pPr>
        <w:pStyle w:val="BodyText"/>
        <w:ind w:leftChars="0" w:left="0" w:right="0"/>
      </w:pPr>
      <w:r>
        <w:t>Un indice basso potrebbe indicare che la carenza di risorse utili per onorare i pagamenti a breve termine. Inoltre, la scarsità di risorse liquide potrebbe limitare la capacità dell’azienda di svilupparsi o rimanere competitiva nel lungo termine.</w:t>
      </w:r>
    </w:p>
    <w:bookmarkEnd w:id="733"/>
    <w:bookmarkEnd w:id="734"/>
    <w:bookmarkStart w:id="735" w:name="_cde25464ebf3b60ab90280ee3dbd939f"/>
    <w:bookmarkStart w:id="736" w:name="_5b7774ab1834749afe56761ce61f868f"/>
    <w:p>
      <w:pPr>
        <w:pStyle w:val="Heading4"/>
        <w:keepNext/>
      </w:pPr>
      <w:r>
        <w:t>Indice di ritorno liquido</w:t>
      </w:r>
    </w:p>
    <w:p>
      <w:pPr>
        <w:pStyle w:val="BodyText"/>
        <w:ind w:leftChars="0" w:left="0" w:right="0"/>
      </w:pPr>
      <w:r>
        <w:t xml:space="preserve">L’indice di ritorno liquido dell’attivo è un </w:t>
      </w:r>
      <w:hyperlink xmlns:r="http://schemas.openxmlformats.org/officeDocument/2006/relationships" r:id="rId216">
        <w:r>
          <w:rPr>
            <w:rStyle w:val="Hyperlink"/>
          </w:rPr>
          <w:t>indice di crisi</w:t>
        </w:r>
      </w:hyperlink>
      <w:r>
        <w:t xml:space="preserve"> che trova applicazione in presenza di difficoltà nella generazione di flussi di cassa sufficienti. Nello specifico, è calcolato come rapporto tra flussi di cassa e attivo della </w:t>
      </w:r>
      <w:r>
        <w:rPr>
          <w:i/>
          <w:iCs/>
        </w:rPr>
        <w:t>Società</w:t>
      </w:r>
      <w:r>
        <w:t>.</w:t>
      </w:r>
    </w:p>
    <w:p>
      <w:pPr>
        <w:pStyle w:val="MathBlock"/>
        <w:ind w:leftChars="0" w:left="0" w:right="0"/>
      </w:pPr>
      <m:oMathPara xmlns:m="http://schemas.openxmlformats.org/officeDocument/2006/math">
        <m:oMathParaPr>
          <m:jc m:val="center"/>
        </m:oMathParaPr>
        <m:oMath>
          <m:r>
            <m:t>i_\textrm{ ritorno liquido } = \frac{ FCF }{ A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FCF</m:t>
        </m:r>
      </m:oMath>
      <w:r>
        <w:t>: Flussi di cassa</w:t>
      </w:r>
    </w:p>
    <w:p>
      <w:pPr>
        <w:pStyle w:val="ListBullet"/>
        <w:numPr>
          <w:ilvl w:val="0"/>
          <w:numId w:val="2"/>
        </w:numPr>
        <w:ind w:leftChars="0" w:left="480" w:right="0"/>
      </w:pPr>
      <m:oMath xmlns:m="http://schemas.openxmlformats.org/officeDocument/2006/math">
        <m:r>
          <m:t>A</m:t>
        </m:r>
      </m:oMath>
      <w:r>
        <w:t>: Attivo</w:t>
      </w:r>
    </w:p>
    <w:p>
      <w:pPr>
        <w:pStyle w:val="BodyText"/>
        <w:ind w:leftChars="0" w:left="0" w:right="0"/>
      </w:pPr>
      <w:r>
        <w:t>Un indice basso potrebbe indicare che gli investimenti effettuati non stanno producendo flussi di cassa significativi. Questo potrebbe essere dovuto a una cattiva gestione degli attivi o a una bassa redditività delle attività stesse.</w:t>
      </w:r>
    </w:p>
    <w:bookmarkEnd w:id="735"/>
    <w:bookmarkEnd w:id="736"/>
    <w:bookmarkStart w:id="737" w:name="_59817ee00bcf158348217f3822545457"/>
    <w:bookmarkStart w:id="738" w:name="_06ae9172494e65238850fab45e97c1d5"/>
    <w:p>
      <w:pPr>
        <w:pStyle w:val="Heading4"/>
        <w:keepNext/>
      </w:pPr>
      <w:r>
        <w:t>Indice di adeguatezza patrimoniale</w:t>
      </w:r>
    </w:p>
    <w:p>
      <w:pPr>
        <w:pStyle w:val="BodyText"/>
        <w:ind w:leftChars="0" w:left="0" w:right="0"/>
      </w:pPr>
      <w:r>
        <w:t xml:space="preserve">L’indice di adeguatezza patrimoniale è un </w:t>
      </w:r>
      <w:hyperlink xmlns:r="http://schemas.openxmlformats.org/officeDocument/2006/relationships" r:id="rId216">
        <w:r>
          <w:rPr>
            <w:rStyle w:val="Hyperlink"/>
          </w:rPr>
          <w:t>indice di crisi</w:t>
        </w:r>
      </w:hyperlink>
      <w:r>
        <w:t xml:space="preserve"> che trova applicazione in presenza di difficoltà nella copertura dei debiti con il patrimonio netto, aumentando il rischio di insolvenza. Nello specifico, è calcolato come rapporto tra patrimonio netto e il totale dei debiti della </w:t>
      </w:r>
      <w:r>
        <w:rPr>
          <w:i/>
          <w:iCs/>
        </w:rPr>
        <w:t>Società</w:t>
      </w:r>
      <w:r>
        <w:t>.</w:t>
      </w:r>
    </w:p>
    <w:p>
      <w:pPr>
        <w:pStyle w:val="MathBlock"/>
        <w:ind w:leftChars="0" w:left="0" w:right="0"/>
      </w:pPr>
      <m:oMathPara xmlns:m="http://schemas.openxmlformats.org/officeDocument/2006/math">
        <m:oMathParaPr>
          <m:jc m:val="center"/>
        </m:oMathParaPr>
        <m:oMath>
          <m:r>
            <m:t>i_\textrm{ adeguatezza patrimoniale } = \frac{ PN }{ D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PN</m:t>
        </m:r>
      </m:oMath>
      <w:r>
        <w:t>: Patrimonio netto</w:t>
      </w:r>
    </w:p>
    <w:p>
      <w:pPr>
        <w:pStyle w:val="ListBullet"/>
        <w:numPr>
          <w:ilvl w:val="0"/>
          <w:numId w:val="2"/>
        </w:numPr>
        <w:ind w:leftChars="0" w:left="480" w:right="0"/>
      </w:pPr>
      <m:oMath xmlns:m="http://schemas.openxmlformats.org/officeDocument/2006/math">
        <m:r>
          <m:t>D</m:t>
        </m:r>
      </m:oMath>
      <w:r>
        <w:t>: Debiti</w:t>
      </w:r>
    </w:p>
    <w:p>
      <w:pPr>
        <w:pStyle w:val="BodyText"/>
        <w:ind w:leftChars="0" w:left="0" w:right="0"/>
      </w:pPr>
      <w:r>
        <w:t>Un indice basso potrebbe indicare una maggiore vulnerabilità a cambiamenti economici avversi. Gli investitori, i creditori e le agenzie di rating possono utilizzare questo indice per valutare il merito creditizio. Pertanto, un indice più basso potrebbe influenzare negativamente la capacità di ottenere finanziamenti o di ottenere prestiti a tassi di interesse favorevoli.</w:t>
      </w:r>
    </w:p>
    <w:bookmarkEnd w:id="737"/>
    <w:bookmarkEnd w:id="738"/>
    <w:bookmarkStart w:id="739" w:name="_7e41ae849a990dc473c4434cd5061a5d"/>
    <w:bookmarkStart w:id="740" w:name="_53c1bceed2003463a98e296e4d92bfab"/>
    <w:p>
      <w:pPr>
        <w:pStyle w:val="Heading4"/>
        <w:keepNext/>
      </w:pPr>
      <w:r>
        <w:t>Indice di indebitamento previdenziale e tributario</w:t>
      </w:r>
    </w:p>
    <w:p>
      <w:pPr>
        <w:pStyle w:val="BodyText"/>
        <w:ind w:leftChars="0" w:left="0" w:right="0"/>
      </w:pPr>
      <w:r>
        <w:t xml:space="preserve">L’indice di indebitamento previdenziale e tributario è un </w:t>
      </w:r>
      <w:hyperlink xmlns:r="http://schemas.openxmlformats.org/officeDocument/2006/relationships" r:id="rId216">
        <w:r>
          <w:rPr>
            <w:rStyle w:val="Hyperlink"/>
          </w:rPr>
          <w:t>indice di crisi</w:t>
        </w:r>
      </w:hyperlink>
      <w:r>
        <w:t xml:space="preserve"> che trova applicazione in presenza di difficoltà finanziarie nel sostenimento degli obblighi previdenziali e fiscali. Nello specifico, è calcolato come rapporto tra l’indebitamento previdenziale e tributario e l’attivo della </w:t>
      </w:r>
      <w:r>
        <w:rPr>
          <w:i/>
          <w:iCs/>
        </w:rPr>
        <w:t>Società</w:t>
      </w:r>
      <w:r>
        <w:t>.</w:t>
      </w:r>
    </w:p>
    <w:p>
      <w:pPr>
        <w:pStyle w:val="MathBlock"/>
        <w:ind w:leftChars="0" w:left="0" w:right="0"/>
      </w:pPr>
      <m:oMathPara xmlns:m="http://schemas.openxmlformats.org/officeDocument/2006/math">
        <m:oMathParaPr>
          <m:jc m:val="center"/>
        </m:oMathParaPr>
        <m:oMath>
          <m:r>
            <m:t>i_\textrm{ indebitamento previdenziale e tributario } = \frac{ D_\textrm{ previdenziali }+ D_\textrm{ tributari } }{ A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D_\textrm{ previdenziali }</m:t>
        </m:r>
      </m:oMath>
      <w:r>
        <w:t>: Debiti verso istituti di previdenza e di sicurezza sociale</w:t>
      </w:r>
    </w:p>
    <w:p>
      <w:pPr>
        <w:pStyle w:val="ListBullet"/>
        <w:numPr>
          <w:ilvl w:val="0"/>
          <w:numId w:val="2"/>
        </w:numPr>
        <w:ind w:leftChars="0" w:left="480" w:right="0"/>
      </w:pPr>
      <m:oMath xmlns:m="http://schemas.openxmlformats.org/officeDocument/2006/math">
        <m:r>
          <m:t>D_\textrm{ tributari }</m:t>
        </m:r>
      </m:oMath>
      <w:r>
        <w:t>: Debiti tributari</w:t>
      </w:r>
    </w:p>
    <w:p>
      <w:pPr>
        <w:pStyle w:val="ListBullet"/>
        <w:numPr>
          <w:ilvl w:val="0"/>
          <w:numId w:val="2"/>
        </w:numPr>
        <w:ind w:leftChars="0" w:left="480" w:right="0"/>
      </w:pPr>
      <m:oMath xmlns:m="http://schemas.openxmlformats.org/officeDocument/2006/math">
        <m:r>
          <m:t>A</m:t>
        </m:r>
      </m:oMath>
      <w:r>
        <w:t>: Attivo</w:t>
      </w:r>
    </w:p>
    <w:p>
      <w:pPr>
        <w:pStyle w:val="BodyText"/>
        <w:ind w:leftChars="0" w:left="0" w:right="0"/>
      </w:pPr>
      <w:r>
        <w:t>Un indice alto potrebbe indicare l’accumulo un elevato indebitamento nei confronti delle autorità previdenziali e fiscali, come l’INPS o l’Agenzia delle Entrate. Inoltre, può contribuire a una pressione finanziaria generale, poiché si vincola la destinazione delle risorse alla copertura di debiti previdenziali e tributari, riducendo così la sua capacità di investimento o di gestire altri aspetti operativi.</w:t>
      </w:r>
    </w:p>
    <w:bookmarkEnd w:id="739"/>
    <w:bookmarkEnd w:id="740"/>
    <w:bookmarkStart w:id="741" w:name="_b1896868d5552ab7c6f56a0d1da497ad"/>
    <w:bookmarkStart w:id="742" w:name="_537f1abf2db64b260b3f95f24bb8401d"/>
    <w:p>
      <w:pPr>
        <w:pStyle w:val="Heading4"/>
        <w:keepNext/>
      </w:pPr>
      <w:r>
        <w:t>Indice di sostenibilità degli oneri finanziari</w:t>
      </w:r>
    </w:p>
    <w:p>
      <w:pPr>
        <w:pStyle w:val="BodyText"/>
        <w:ind w:leftChars="0" w:left="0" w:right="0"/>
      </w:pPr>
      <w:r>
        <w:t xml:space="preserve">L’indice di sostenibilità degli oneri finanziari è un </w:t>
      </w:r>
      <w:hyperlink xmlns:r="http://schemas.openxmlformats.org/officeDocument/2006/relationships" r:id="rId216">
        <w:r>
          <w:rPr>
            <w:rStyle w:val="Hyperlink"/>
          </w:rPr>
          <w:t>indice di crisi</w:t>
        </w:r>
      </w:hyperlink>
      <w:r>
        <w:t xml:space="preserve"> che trova applicazione in presenza di difficoltà nella gestione del carico degli oneri finanziari. Nello specifico, è calcolato come rapporto tra gli oneri finanziari e il fatturato della </w:t>
      </w:r>
      <w:r>
        <w:rPr>
          <w:i/>
          <w:iCs/>
        </w:rPr>
        <w:t>Società</w:t>
      </w:r>
      <w:r>
        <w:t>.</w:t>
      </w:r>
    </w:p>
    <w:p>
      <w:pPr>
        <w:pStyle w:val="MathBlock"/>
        <w:ind w:leftChars="0" w:left="0" w:right="0"/>
      </w:pPr>
      <m:oMathPara xmlns:m="http://schemas.openxmlformats.org/officeDocument/2006/math">
        <m:oMathParaPr>
          <m:jc m:val="center"/>
        </m:oMathParaPr>
        <m:oMath>
          <m:r>
            <m:t>i_\textrm{ sostenibilità oneri finanziari } = \frac{ Ofin_\textrm{ diversi } }{ R_\textrm{ netti } }</m:t>
          </m:r>
        </m:oMath>
      </m:oMathPara>
    </w:p>
    <w:p>
      <w:pPr>
        <w:pStyle w:val="BodyText"/>
        <w:ind w:leftChars="0" w:left="0" w:right="0"/>
      </w:pPr>
      <w:r>
        <w:t>dove:</w:t>
      </w:r>
    </w:p>
    <w:p>
      <w:pPr>
        <w:pStyle w:val="ListBullet"/>
        <w:numPr>
          <w:ilvl w:val="0"/>
          <w:numId w:val="2"/>
        </w:numPr>
        <w:ind w:leftChars="0" w:left="480" w:right="0"/>
      </w:pPr>
      <m:oMath xmlns:m="http://schemas.openxmlformats.org/officeDocument/2006/math">
        <m:r>
          <m:t>Ofin_\textrm{ diversi }</m:t>
        </m:r>
      </m:oMath>
      <w:r>
        <w:t>: Oneri finanziari diversi</w:t>
      </w:r>
    </w:p>
    <w:p>
      <w:pPr>
        <w:pStyle w:val="ListBullet"/>
        <w:numPr>
          <w:ilvl w:val="0"/>
          <w:numId w:val="2"/>
        </w:numPr>
        <w:ind w:leftChars="0" w:left="480" w:right="0"/>
      </w:pPr>
      <m:oMath xmlns:m="http://schemas.openxmlformats.org/officeDocument/2006/math">
        <m:r>
          <m:t>R_\textrm{ netti }</m:t>
        </m:r>
      </m:oMath>
      <w:r>
        <w:t>: Fatturato netto</w:t>
      </w:r>
    </w:p>
    <w:p>
      <w:pPr>
        <w:pStyle w:val="BodyText"/>
        <w:ind w:leftChars="0" w:left="0" w:right="0"/>
      </w:pPr>
      <w:r>
        <w:t>Un indice alto potrebbe indicare un elevato carico di debito e una significativa esposizione a rischi finanziari se le entrate dovessero diminuire o se i tassi di interesse dovessero aumentare.</w:t>
      </w:r>
    </w:p>
    <w:bookmarkStart w:id="743" w:name="_5545dce8d05539d0d78bec8f2a6f7635"/>
    <w:bookmarkEnd w:id="743"/>
    <w:bookmarkEnd w:id="741"/>
    <w:bookmarkEnd w:id="742"/>
    <w:bookmarkEnd w:id="732"/>
    <w:bookmarkEnd w:id="725"/>
    <w:bookmarkEnd w:id="681"/>
    <w:bookmarkEnd w:id="682"/>
    <w:bookmarkEnd w:id="683"/>
    <w:bookmarkEnd w:id="684"/>
    <w:bookmarkEnd w:id="232"/>
    <w:bookmarkEnd w:id="231"/>
    <w:bookmarkEnd w:id="230"/>
    <w:br w:type="page"/>
    <w:bookmarkEnd w:id="229"/>
    <w:bookmarkEnd w:id="2"/>
    <w:bookmarkEnd w:id="1"/>
    <w:sectPr xmlns:r="http://schemas.openxmlformats.org/officeDocument/2006/relationships" w:rsidR="00446270" w:rsidRPr="0032636A" w:rsidSect="00EE1307">
      <w:footerReference w:type="even" r:id="rId8"/>
      <w:footerReference w:type="default" r:id="rId9"/>
      <w:pgSz w:w="11901" w:h="16817"/>
      <w:pgMar w:top="1134" w:right="851" w:bottom="1134" w:left="851" w:header="851" w:footer="992" w:gutter="0"/>
      <w:cols w:space="425"/>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AAFCB" w14:textId="77777777" w:rsidR="00652E78" w:rsidRDefault="00652E78" w:rsidP="003D1B18">
      <w:pPr>
        <w:spacing w:after="0"/>
      </w:pPr>
      <w:r>
        <w:separator/>
      </w:r>
    </w:p>
  </w:endnote>
  <w:endnote w:type="continuationSeparator" w:id="0">
    <w:p w14:paraId="1957395C" w14:textId="77777777" w:rsidR="00652E78" w:rsidRDefault="00652E78"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游ゴシック Medium">
    <w:altName w:val="Yu Gothic"/>
    <w:panose1 w:val="020B0604020202020204"/>
    <w:charset w:val="80"/>
    <w:family w:val="roman"/>
    <w:notTrueType/>
    <w:pitch w:val="default"/>
  </w:font>
  <w:font w:name="Georgia">
    <w:altName w:val="﷽﷽﷽﷽﷽﷽﷽﷽"/>
    <w:panose1 w:val="02040502050405020303"/>
    <w:charset w:val="00"/>
    <w:family w:val="roman"/>
    <w:pitch w:val="variable"/>
    <w:sig w:usb0="00000287" w:usb1="00000000" w:usb2="00000000" w:usb3="00000000" w:csb0="0000009F" w:csb1="00000000"/>
  </w:font>
  <w:font w:name="游ゴシック体">
    <w:altName w:val="Yu Gothic"/>
    <w:panose1 w:val="020B0604020202020204"/>
    <w:charset w:val="80"/>
    <w:family w:val="roman"/>
    <w:notTrueType/>
    <w:pitch w:val="default"/>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ヒラギノ角ゴ ProN W3">
    <w:altName w:val="Calibri"/>
    <w:panose1 w:val="020B0300000000000000"/>
    <w:charset w:val="4E"/>
    <w:family w:val="auto"/>
    <w:pitch w:val="variable"/>
    <w:sig w:usb0="E00002FF" w:usb1="7AC7FFFF" w:usb2="00000012" w:usb3="00000000" w:csb0="0002000D" w:csb1="00000000"/>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1938644"/>
      <w:docPartObj>
        <w:docPartGallery w:val="Page Numbers (Bottom of Page)"/>
        <w:docPartUnique/>
      </w:docPartObj>
    </w:sdtPr>
    <w:sdtEndPr>
      <w:rPr>
        <w:rStyle w:val="PageNumber"/>
      </w:rPr>
    </w:sdtEndPr>
    <w:sdtContent>
      <w:p w14:paraId="2B2B27C1" w14:textId="0485469F" w:rsidR="00316F63" w:rsidRDefault="00316F63" w:rsidP="00EC55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106623" w14:textId="77777777" w:rsidR="00316F63" w:rsidRDefault="00316F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9605630"/>
      <w:docPartObj>
        <w:docPartGallery w:val="Page Numbers (Bottom of Page)"/>
        <w:docPartUnique/>
      </w:docPartObj>
    </w:sdtPr>
    <w:sdtEndPr>
      <w:rPr>
        <w:rStyle w:val="PageNumber"/>
      </w:rPr>
    </w:sdtEndPr>
    <w:sdtContent>
      <w:p w14:paraId="16F7B619" w14:textId="16731DA6" w:rsidR="00316F63" w:rsidRDefault="00316F63" w:rsidP="00EC554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0AB4EB8" w14:textId="77777777" w:rsidR="00316F63" w:rsidRDefault="00316F63">
    <w:pPr>
      <w:pStyle w:val="Footer"/>
    </w:pPr>
  </w:p>
</w:ftr>
</file>

<file path=word/footnotes.xml><?xml version="1.0" encoding="utf-8"?>
<w:footnotes xmlns:w="http://schemas.openxmlformats.org/wordprocessingml/2006/main">
  <w:footnote xmlns:w14="http://schemas.microsoft.com/office/word/2010/wordml" w:type="separator" w:id="-1">
    <w:p w14:paraId="5D5E856B" w14:textId="77777777" w:rsidR="00652E78" w:rsidRDefault="00652E78" w:rsidP="003D1B18">
      <w:pPr>
        <w:spacing w:after="0"/>
      </w:pPr>
      <w:r>
        <w:separator/>
      </w:r>
    </w:p>
  </w:footnote>
  <w:footnote xmlns:w14="http://schemas.microsoft.com/office/word/2010/wordml" w:type="continuationSeparator" w:id="0">
    <w:p w14:paraId="1193B38A" w14:textId="77777777" w:rsidR="00652E78" w:rsidRDefault="00652E78" w:rsidP="003D1B18">
      <w:pPr>
        <w:spacing w:after="0"/>
      </w:pPr>
      <w:r>
        <w:continuationSeparator/>
      </w:r>
    </w:p>
  </w:footnote>
  <w:footnote w:type="separate" w:id="1">
    <w:p>
      <w:pPr>
        <w:spacing w:after="0"/>
      </w:pPr>
      <w:r>
        <w:separate/>
      </w:r>
    </w:p>
  </w:footnote>
</w:footnotes>
</file>

<file path=word/numbering.xml><?xml version="1.0" encoding="utf-8"?>
<w:numbering xmlns:w="http://schemas.openxmlformats.org/wordprocessingml/2006/main">
  <w:abstractNum xmlns:w15="http://schemas.microsoft.com/office/word/2012/wordml" w:abstractNumId="0" w15:restartNumberingAfterBreak="0">
    <w:nsid w:val="FFFFFF1D"/>
    <w:multiLevelType w:val="multilevel"/>
    <w:tmpl w:val="B40A5BA6"/>
    <w:lvl w:ilvl="0">
      <w:start w:val="1"/>
      <w:numFmt w:val="bullet"/>
      <w:pStyle w:val="ListBullet"/>
      <w:lvlText w:val=""/>
      <w:lvlJc w:val="left"/>
      <w:pPr>
        <w:ind w:left="480" w:hanging="360"/>
      </w:pPr>
      <w:rPr>
        <w:rFonts w:ascii="Wingdings" w:hAnsi="Wingdings" w:hint="default"/>
        <w:kern w:val="2"/>
        <w:sz w:val="8"/>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xmlns:w15="http://schemas.microsoft.com/office/word/2012/wordml" w:abstractNumId="1" w15:restartNumberingAfterBreak="0">
    <w:nsid w:val="FFFFFF7C"/>
    <w:multiLevelType w:val="singleLevel"/>
    <w:tmpl w:val="955EC532"/>
    <w:lvl w:ilvl="0">
      <w:start w:val="1"/>
      <w:numFmt w:val="decimal"/>
      <w:lvlText w:val="%1."/>
      <w:lvlJc w:val="left"/>
      <w:pPr>
        <w:ind w:left="480" w:hanging="360"/>
      </w:pPr>
    </w:lvl>
  </w:abstractNum>
  <w:abstractNum w:abstractNumId="11">
    <w:multiLevelType w:val="singleLevel"/>
    <w:lvl w:ilvl="0">
      <w:start w:val="1"/>
      <w:lvlText w:val="%1."/>
      <w:lvlJc w:val="left"/>
      <w:numFmt w:val="decimal"/>
      <w:pPr>
        <w:ind w:left="480" w:hanging="360"/>
      </w:pPr>
    </w:lvl>
  </w:abstractNum>
  <w:num w:numId="1">
    <w:abstractNumId w:val="1"/>
  </w:num>
  <w:num w:numId="2">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960"/>
  <w:drawingGridHorizontalSpacing w:val="105"/>
  <w:drawingGridVerticalSpacing w:val="200"/>
  <w:displayHorizontalDrawingGridEvery w:val="2"/>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304"/>
    <w:rsid w:val="000C2FF5"/>
    <w:rsid w:val="000D5DED"/>
    <w:rsid w:val="000D7DE3"/>
    <w:rsid w:val="000E2C73"/>
    <w:rsid w:val="000F3378"/>
    <w:rsid w:val="00112F6C"/>
    <w:rsid w:val="001471A7"/>
    <w:rsid w:val="0016212C"/>
    <w:rsid w:val="00163136"/>
    <w:rsid w:val="00164C94"/>
    <w:rsid w:val="001A1855"/>
    <w:rsid w:val="001A359B"/>
    <w:rsid w:val="001D3FA4"/>
    <w:rsid w:val="001F6D76"/>
    <w:rsid w:val="002136EC"/>
    <w:rsid w:val="002407E6"/>
    <w:rsid w:val="00244890"/>
    <w:rsid w:val="00264E3A"/>
    <w:rsid w:val="002704DA"/>
    <w:rsid w:val="00270639"/>
    <w:rsid w:val="00287BF7"/>
    <w:rsid w:val="002A56A7"/>
    <w:rsid w:val="002C20D3"/>
    <w:rsid w:val="002F2748"/>
    <w:rsid w:val="002F4A85"/>
    <w:rsid w:val="002F4DDD"/>
    <w:rsid w:val="00315593"/>
    <w:rsid w:val="00316F63"/>
    <w:rsid w:val="0032040F"/>
    <w:rsid w:val="0032636A"/>
    <w:rsid w:val="00366BE4"/>
    <w:rsid w:val="00366D42"/>
    <w:rsid w:val="003B15A7"/>
    <w:rsid w:val="003C7AA8"/>
    <w:rsid w:val="003D1B18"/>
    <w:rsid w:val="003F3EA3"/>
    <w:rsid w:val="003F7817"/>
    <w:rsid w:val="00416B78"/>
    <w:rsid w:val="00416C99"/>
    <w:rsid w:val="00446270"/>
    <w:rsid w:val="004A14C2"/>
    <w:rsid w:val="004C2770"/>
    <w:rsid w:val="004F6732"/>
    <w:rsid w:val="00547B71"/>
    <w:rsid w:val="00552270"/>
    <w:rsid w:val="00560629"/>
    <w:rsid w:val="00575DF6"/>
    <w:rsid w:val="005766AC"/>
    <w:rsid w:val="00581A03"/>
    <w:rsid w:val="005D5795"/>
    <w:rsid w:val="005E4A64"/>
    <w:rsid w:val="00616B5C"/>
    <w:rsid w:val="00626462"/>
    <w:rsid w:val="0064393E"/>
    <w:rsid w:val="006475E0"/>
    <w:rsid w:val="00652E78"/>
    <w:rsid w:val="00684F91"/>
    <w:rsid w:val="006C6865"/>
    <w:rsid w:val="006D4E62"/>
    <w:rsid w:val="00710EEE"/>
    <w:rsid w:val="00737B7F"/>
    <w:rsid w:val="0078721E"/>
    <w:rsid w:val="00792C85"/>
    <w:rsid w:val="007B27C1"/>
    <w:rsid w:val="007C75EA"/>
    <w:rsid w:val="007D76AB"/>
    <w:rsid w:val="007D7EE3"/>
    <w:rsid w:val="007E4013"/>
    <w:rsid w:val="00805115"/>
    <w:rsid w:val="00821190"/>
    <w:rsid w:val="0083075C"/>
    <w:rsid w:val="00833B46"/>
    <w:rsid w:val="0085710C"/>
    <w:rsid w:val="00863949"/>
    <w:rsid w:val="008C0304"/>
    <w:rsid w:val="008C23EC"/>
    <w:rsid w:val="008C670A"/>
    <w:rsid w:val="008C7959"/>
    <w:rsid w:val="009539A7"/>
    <w:rsid w:val="009B26AA"/>
    <w:rsid w:val="009B74EC"/>
    <w:rsid w:val="009B7BF7"/>
    <w:rsid w:val="009E26F7"/>
    <w:rsid w:val="009E3A5A"/>
    <w:rsid w:val="00A3152C"/>
    <w:rsid w:val="00A60D42"/>
    <w:rsid w:val="00A84B49"/>
    <w:rsid w:val="00AA1910"/>
    <w:rsid w:val="00AA55F3"/>
    <w:rsid w:val="00AD0869"/>
    <w:rsid w:val="00AE7E87"/>
    <w:rsid w:val="00B116F7"/>
    <w:rsid w:val="00B20C16"/>
    <w:rsid w:val="00B5288C"/>
    <w:rsid w:val="00B661D2"/>
    <w:rsid w:val="00B672DA"/>
    <w:rsid w:val="00B837D1"/>
    <w:rsid w:val="00B910EA"/>
    <w:rsid w:val="00BA6A3C"/>
    <w:rsid w:val="00BF3BCF"/>
    <w:rsid w:val="00C701E1"/>
    <w:rsid w:val="00C870E4"/>
    <w:rsid w:val="00CE03CA"/>
    <w:rsid w:val="00CE1585"/>
    <w:rsid w:val="00D20E6C"/>
    <w:rsid w:val="00DA625A"/>
    <w:rsid w:val="00DD3BA8"/>
    <w:rsid w:val="00DE7119"/>
    <w:rsid w:val="00DF2C21"/>
    <w:rsid w:val="00E3442B"/>
    <w:rsid w:val="00E50E36"/>
    <w:rsid w:val="00E54A65"/>
    <w:rsid w:val="00E979E1"/>
    <w:rsid w:val="00EA7DDD"/>
    <w:rsid w:val="00EC0999"/>
    <w:rsid w:val="00EE1307"/>
    <w:rsid w:val="00F03838"/>
    <w:rsid w:val="00F03E37"/>
    <w:rsid w:val="00F23D3B"/>
    <w:rsid w:val="00F507DB"/>
    <w:rsid w:val="00F8533B"/>
    <w:rsid w:val="00F91FBF"/>
    <w:rsid w:val="00FA4659"/>
    <w:rsid w:val="00FA61CE"/>
    <w:rsid w:val="00FD11BC"/>
    <w:rsid w:val="00FE2653"/>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F710692"/>
  <w15:docId w15:val="{68D53DFF-D4CC-C642-8A48-69776C550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075C"/>
    <w:pPr>
      <w:widowControl w:val="0"/>
      <w:spacing w:after="100" w:line="280" w:lineRule="atLeast"/>
      <w:jc w:val="both"/>
    </w:pPr>
    <w:rPr>
      <w:color w:val="333333"/>
      <w:sz w:val="20"/>
    </w:rPr>
  </w:style>
  <w:style w:type="paragraph" w:styleId="Heading1">
    <w:name w:val="heading 1"/>
    <w:basedOn w:val="Normal"/>
    <w:next w:val="Normal"/>
    <w:link w:val="Heading1Char"/>
    <w:uiPriority w:val="9"/>
    <w:qFormat/>
    <w:rsid w:val="002F4DDD"/>
    <w:pPr>
      <w:keepNext/>
      <w:spacing w:before="240" w:after="120"/>
      <w:outlineLvl w:val="0"/>
    </w:pPr>
    <w:rPr>
      <w:rFonts w:eastAsiaTheme="majorEastAsia" w:cstheme="majorBidi"/>
      <w:b/>
      <w:bCs/>
      <w:color w:val="000000" w:themeColor="text1"/>
      <w:sz w:val="35"/>
      <w:szCs w:val="40"/>
    </w:rPr>
  </w:style>
  <w:style w:type="paragraph" w:styleId="Heading2">
    <w:name w:val="heading 2"/>
    <w:basedOn w:val="Normal"/>
    <w:next w:val="Normal"/>
    <w:link w:val="Heading2Char"/>
    <w:uiPriority w:val="9"/>
    <w:unhideWhenUsed/>
    <w:qFormat/>
    <w:rsid w:val="002F4DDD"/>
    <w:pPr>
      <w:keepNext/>
      <w:spacing w:before="240" w:after="120"/>
      <w:outlineLvl w:val="1"/>
    </w:pPr>
    <w:rPr>
      <w:rFonts w:eastAsiaTheme="majorEastAsia" w:cstheme="majorBidi"/>
      <w:b/>
      <w:bCs/>
      <w:color w:val="000000" w:themeColor="text1"/>
      <w:sz w:val="30"/>
      <w:szCs w:val="36"/>
    </w:rPr>
  </w:style>
  <w:style w:type="paragraph" w:styleId="Heading3">
    <w:name w:val="heading 3"/>
    <w:basedOn w:val="Normal"/>
    <w:next w:val="Normal"/>
    <w:link w:val="Heading3Char"/>
    <w:uiPriority w:val="9"/>
    <w:unhideWhenUsed/>
    <w:qFormat/>
    <w:rsid w:val="002F4DDD"/>
    <w:pPr>
      <w:keepNext/>
      <w:spacing w:before="240" w:after="120"/>
      <w:outlineLvl w:val="2"/>
    </w:pPr>
    <w:rPr>
      <w:rFonts w:eastAsiaTheme="majorEastAsia" w:cstheme="majorBidi"/>
      <w:b/>
      <w:bCs/>
      <w:i/>
      <w:color w:val="000000" w:themeColor="text1"/>
      <w:sz w:val="25"/>
      <w:szCs w:val="28"/>
    </w:rPr>
  </w:style>
  <w:style w:type="paragraph" w:styleId="Heading4">
    <w:name w:val="heading 4"/>
    <w:basedOn w:val="Normal"/>
    <w:next w:val="Normal"/>
    <w:link w:val="Heading4Char"/>
    <w:uiPriority w:val="9"/>
    <w:unhideWhenUsed/>
    <w:qFormat/>
    <w:rsid w:val="00C870E4"/>
    <w:pPr>
      <w:keepNext/>
      <w:outlineLvl w:val="3"/>
    </w:pPr>
    <w:rPr>
      <w:rFonts w:eastAsiaTheme="majorEastAsia" w:cstheme="majorBidi"/>
      <w:b/>
      <w:bCs/>
      <w:i/>
      <w:color w:val="000000" w:themeColor="text1"/>
      <w:szCs w:val="24"/>
    </w:rPr>
  </w:style>
  <w:style w:type="paragraph" w:styleId="Heading5">
    <w:name w:val="heading 5"/>
    <w:basedOn w:val="Normal"/>
    <w:next w:val="Normal"/>
    <w:link w:val="Heading5Char"/>
    <w:uiPriority w:val="9"/>
    <w:unhideWhenUsed/>
    <w:qFormat/>
    <w:rsid w:val="00C870E4"/>
    <w:pPr>
      <w:keepNext/>
      <w:outlineLvl w:val="4"/>
    </w:pPr>
    <w:rPr>
      <w:rFonts w:eastAsiaTheme="majorEastAsia" w:cstheme="majorBidi"/>
      <w:b/>
      <w:bCs/>
      <w:i/>
      <w:color w:val="000000" w:themeColor="text1"/>
      <w:szCs w:val="22"/>
    </w:rPr>
  </w:style>
  <w:style w:type="paragraph" w:styleId="Heading6">
    <w:name w:val="heading 6"/>
    <w:basedOn w:val="Normal"/>
    <w:next w:val="Normal"/>
    <w:link w:val="Heading6Char"/>
    <w:unhideWhenUsed/>
    <w:rsid w:val="00C870E4"/>
    <w:pPr>
      <w:keepNext/>
      <w:keepLines/>
      <w:spacing w:before="40" w:after="0"/>
      <w:outlineLvl w:val="5"/>
    </w:pPr>
    <w:rPr>
      <w:rFonts w:eastAsiaTheme="majorEastAsia"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DDD"/>
    <w:rPr>
      <w:rFonts w:eastAsiaTheme="majorEastAsia" w:cstheme="majorBidi"/>
      <w:b/>
      <w:bCs/>
      <w:color w:val="000000" w:themeColor="text1"/>
      <w:sz w:val="35"/>
      <w:szCs w:val="40"/>
    </w:rPr>
  </w:style>
  <w:style w:type="paragraph" w:styleId="Title">
    <w:name w:val="Title"/>
    <w:basedOn w:val="Normal"/>
    <w:next w:val="Normal"/>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Title Char"/>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
    <w:next w:val="Normal"/>
    <w:link w:val="SubtitleChar"/>
    <w:uiPriority w:val="11"/>
    <w:qFormat/>
    <w:pPr>
      <w:jc w:val="center"/>
      <w:outlineLvl w:val="1"/>
    </w:pPr>
    <w:rPr>
      <w:rFonts w:asciiTheme="majorHAnsi" w:eastAsia="游ゴシック体" w:hAnsiTheme="majorHAnsi" w:cstheme="majorBidi"/>
    </w:rPr>
  </w:style>
  <w:style w:type="character" w:customStyle="1" w:styleId="SubtitleChar">
    <w:name w:val="Subtitle Char"/>
    <w:basedOn w:val="DefaultParagraphFont"/>
    <w:link w:val="Subtitle"/>
    <w:uiPriority w:val="11"/>
    <w:rPr>
      <w:rFonts w:asciiTheme="majorHAnsi" w:eastAsia="游ゴシック体" w:hAnsiTheme="majorHAnsi" w:cstheme="majorBidi"/>
    </w:rPr>
  </w:style>
  <w:style w:type="character" w:customStyle="1" w:styleId="Heading2Char">
    <w:name w:val="Heading 2 Char"/>
    <w:basedOn w:val="DefaultParagraphFont"/>
    <w:link w:val="Heading2"/>
    <w:uiPriority w:val="9"/>
    <w:rsid w:val="002F4DDD"/>
    <w:rPr>
      <w:rFonts w:eastAsiaTheme="majorEastAsia" w:cstheme="majorBidi"/>
      <w:b/>
      <w:bCs/>
      <w:color w:val="000000" w:themeColor="text1"/>
      <w:sz w:val="30"/>
      <w:szCs w:val="36"/>
    </w:rPr>
  </w:style>
  <w:style w:type="character" w:customStyle="1" w:styleId="Heading3Char">
    <w:name w:val="Heading 3 Char"/>
    <w:basedOn w:val="DefaultParagraphFont"/>
    <w:link w:val="Heading3"/>
    <w:uiPriority w:val="9"/>
    <w:rsid w:val="002F4DDD"/>
    <w:rPr>
      <w:rFonts w:eastAsiaTheme="majorEastAsia" w:cstheme="majorBidi"/>
      <w:b/>
      <w:bCs/>
      <w:i/>
      <w:color w:val="000000" w:themeColor="text1"/>
      <w:sz w:val="25"/>
      <w:szCs w:val="28"/>
    </w:rPr>
  </w:style>
  <w:style w:type="character" w:customStyle="1" w:styleId="Heading4Char">
    <w:name w:val="Heading 4 Char"/>
    <w:basedOn w:val="DefaultParagraphFont"/>
    <w:link w:val="Heading4"/>
    <w:uiPriority w:val="9"/>
    <w:rsid w:val="00C870E4"/>
    <w:rPr>
      <w:rFonts w:eastAsiaTheme="majorEastAsia" w:cstheme="majorBidi"/>
      <w:b/>
      <w:bCs/>
      <w:i/>
      <w:color w:val="000000" w:themeColor="text1"/>
      <w:sz w:val="20"/>
      <w:szCs w:val="24"/>
    </w:rPr>
  </w:style>
  <w:style w:type="paragraph" w:styleId="ListParagraph">
    <w:name w:val="List Paragraph"/>
    <w:basedOn w:val="Normal"/>
    <w:uiPriority w:val="34"/>
    <w:qFormat/>
    <w:rsid w:val="002C20D3"/>
    <w:pPr>
      <w:ind w:leftChars="400" w:left="480"/>
    </w:pPr>
  </w:style>
  <w:style w:type="character" w:customStyle="1" w:styleId="Heading5Char">
    <w:name w:val="Heading 5 Char"/>
    <w:basedOn w:val="DefaultParagraphFont"/>
    <w:link w:val="Heading5"/>
    <w:uiPriority w:val="9"/>
    <w:rsid w:val="00C870E4"/>
    <w:rPr>
      <w:rFonts w:eastAsiaTheme="majorEastAsia" w:cstheme="majorBidi"/>
      <w:b/>
      <w:bCs/>
      <w:i/>
      <w:color w:val="000000" w:themeColor="text1"/>
      <w:sz w:val="20"/>
      <w:szCs w:val="22"/>
    </w:rPr>
  </w:style>
  <w:style w:type="paragraph" w:customStyle="1" w:styleId="TitleHeading">
    <w:name w:val="Title Heading"/>
    <w:basedOn w:val="Normal"/>
    <w:next w:val="Normal"/>
    <w:uiPriority w:val="10"/>
    <w:unhideWhenUsed/>
    <w:qFormat/>
    <w:pPr>
      <w:keepNext/>
    </w:pPr>
    <w:rPr>
      <w:rFonts w:asciiTheme="majorHAnsi" w:eastAsiaTheme="majorEastAsia" w:hAnsiTheme="majorHAnsi" w:cstheme="majorBidi"/>
      <w:b/>
      <w:bCs/>
      <w:sz w:val="26"/>
      <w:szCs w:val="26"/>
    </w:rPr>
  </w:style>
  <w:style w:type="paragraph" w:customStyle="1" w:styleId="SubtitleHeading">
    <w:name w:val="Subtitle Heading"/>
    <w:basedOn w:val="Normal"/>
    <w:next w:val="Normal"/>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MS Gothic"/>
      <w:noProof/>
      <w:color w:val="E74C3C"/>
      <w:sz w:val="20"/>
      <w:szCs w:val="20"/>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sid w:val="00FE2653"/>
    <w:rPr>
      <w:color w:val="000D7B"/>
      <w:u w:val="single"/>
    </w:rPr>
  </w:style>
  <w:style w:type="character" w:customStyle="1" w:styleId="DescName">
    <w:name w:val="Desc Name"/>
    <w:basedOn w:val="Strong"/>
    <w:rPr>
      <w:rFonts w:ascii="Consolas" w:eastAsia="MS Gothic" w:hAnsiTheme="majorHAnsi"/>
      <w:b/>
      <w:bCs/>
    </w:rPr>
  </w:style>
  <w:style w:type="paragraph" w:customStyle="1" w:styleId="LiteralBlock">
    <w:name w:val="Literal Block"/>
    <w:basedOn w:val="Normal"/>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MS Gothic" w:hAnsiTheme="majorHAnsi"/>
      <w:noProof/>
      <w:szCs w:val="20"/>
    </w:rPr>
  </w:style>
  <w:style w:type="paragraph" w:styleId="Caption">
    <w:name w:val="caption"/>
    <w:basedOn w:val="Normal"/>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
    <w:qFormat/>
    <w:rPr>
      <w:b/>
      <w:bCs/>
    </w:rPr>
  </w:style>
  <w:style w:type="paragraph" w:customStyle="1" w:styleId="Definition">
    <w:name w:val="Definition"/>
    <w:basedOn w:val="Normal"/>
    <w:unhideWhenUsed/>
    <w:qFormat/>
  </w:style>
  <w:style w:type="paragraph" w:styleId="ListBullet">
    <w:name w:val="List Bullet"/>
    <w:basedOn w:val="Normal"/>
    <w:rsid w:val="001A359B"/>
    <w:pPr>
      <w:numPr>
        <w:numId w:val="2"/>
      </w:numPr>
      <w:ind w:left="170" w:hanging="113"/>
      <w:contextualSpacing/>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qFormat/>
    <w:tblPr>
      <w:tblStyleRowBandSize w:val="1"/>
      <w:tblBorders>
        <w:top w:val="nil"/>
        <w:left w:val="nil"/>
        <w:bottom w:val="nil"/>
        <w:right w:val="nil"/>
        <w:insideH w:val="nil"/>
        <w:insideV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style>
  <w:style w:type="table" w:customStyle="1" w:styleId="AdmonitionNote">
    <w:name w:val="Admonition Note"/>
    <w:basedOn w:val="BasedAdmonition"/>
    <w:qFormat/>
    <w:tblPr/>
    <w:tblStylePr w:type="firstRow">
      <w:rPr>
        <w:color w:val="FFFFFF" w:themeColor="background1"/>
      </w:rPr>
      <w:tblPr/>
      <w:tcPr>
        <w:shd w:val="clear" w:color="auto" w:fill="6AB0DE"/>
      </w:tcPr>
    </w:tblStylePr>
    <w:tblStylePr w:type="band1Horz">
      <w:tblPr/>
      <w:tcPr>
        <w:shd w:val="clear" w:color="auto" w:fill="E7F2FA"/>
      </w:tcPr>
    </w:tblStylePr>
  </w:style>
  <w:style w:type="table" w:customStyle="1" w:styleId="AdmonitionWarning">
    <w:name w:val="Admonition Warning"/>
    <w:basedOn w:val="AdmonitionNote"/>
    <w:qFormat/>
    <w:tblPr/>
    <w:tblStylePr w:type="firstRow">
      <w:rPr>
        <w:color w:val="FFFFFF" w:themeColor="background1"/>
      </w:rPr>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tblPr/>
    <w:tblStylePr w:type="firstRow">
      <w:rPr>
        <w:color w:val="FFFFFF" w:themeColor="background1"/>
      </w:rPr>
      <w:tblPr/>
      <w:tcPr>
        <w:shd w:val="clear" w:color="auto" w:fill="F0B376"/>
      </w:tcPr>
    </w:tblStylePr>
    <w:tblStylePr w:type="band1Horz">
      <w:tblPr/>
      <w:tcPr>
        <w:shd w:val="clear" w:color="auto" w:fill="FFEDCC"/>
      </w:tcPr>
    </w:tblStylePr>
  </w:style>
  <w:style w:type="table" w:customStyle="1" w:styleId="Admonition">
    <w:name w:val="Admonition"/>
    <w:basedOn w:val="BasedAdmonition"/>
    <w:tblPr/>
    <w:tblStylePr w:type="firstRow">
      <w:rPr>
        <w:color w:val="FFFFFF" w:themeColor="background1"/>
      </w:rPr>
      <w:tblPr/>
      <w:tcPr>
        <w:shd w:val="clear" w:color="auto" w:fill="6AB0DE"/>
      </w:tcPr>
    </w:tblStylePr>
    <w:tblStylePr w:type="band1Horz">
      <w:tblPr/>
      <w:tcPr>
        <w:shd w:val="clear" w:color="auto" w:fill="E7F2FA"/>
      </w:tcPr>
    </w:tblStylePr>
  </w:style>
  <w:style w:type="table" w:customStyle="1" w:styleId="AdmonitionDescriptions">
    <w:name w:val="Admonition Descriptions"/>
    <w:tblPr>
      <w:tblStyleRowBandSize w:val="1"/>
      <w:tblBorders>
        <w:top w:val="nil"/>
        <w:left w:val="nil"/>
        <w:bottom w:val="nil"/>
        <w:right w:val="nil"/>
        <w:insideH w:val="nil"/>
        <w:insideV w:val="nil"/>
      </w:tblBorders>
      <w:tblCellMar>
        <w:top w:w="0" w:type="dxa"/>
        <w:left w:w="108" w:type="dxa"/>
        <w:bottom w:w="0" w:type="dxa"/>
        <w:right w:w="108" w:type="dxa"/>
      </w:tblCellMar>
    </w:tblPr>
    <w:tblStylePr w:type="firstRow">
      <w:rPr>
        <w:color w:val="000000"/>
      </w:rPr>
      <w:tblPr/>
      <w:tcPr>
        <w:tcBorders>
          <w:top w:val="single" w:sz="18" w:space="0" w:color="6AB0DE"/>
        </w:tcBorders>
        <w:shd w:val="clear" w:color="auto" w:fill="E7F2FA"/>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blBorders>
      <w:tblCellMar>
        <w:top w:w="0" w:type="dxa"/>
        <w:left w:w="108" w:type="dxa"/>
        <w:bottom w:w="0" w:type="dxa"/>
        <w:right w:w="108" w:type="dxa"/>
      </w:tblCellMar>
    </w:tblPr>
  </w:style>
  <w:style w:type="table" w:customStyle="1" w:styleId="FieldList">
    <w:name w:val="Field List"/>
    <w:basedOn w:val="TableNormal"/>
    <w:qFormat/>
    <w:pPr>
      <w:jc w:val="both"/>
    </w:pPr>
    <w:tblPr/>
    <w:tblStylePr w:type="firstCol">
      <w:pPr>
        <w:wordWrap/>
        <w:jc w:val="right"/>
      </w:pPr>
      <w:rPr>
        <w:b/>
        <w:bCs/>
      </w:rPr>
    </w:tblStylePr>
  </w:style>
  <w:style w:type="table" w:customStyle="1" w:styleId="OptionList">
    <w:name w:val="Option List"/>
    <w:basedOn w:val="TableNormal"/>
    <w:uiPriority w:val="99"/>
    <w:tblPr>
      <w:tblStyleRowBandSize w:val="1"/>
    </w:tblPr>
    <w:tblStylePr w:type="band1Horz">
      <w:rPr>
        <w:rFonts w:ascii="Consolas" w:eastAsia="MS Gothic" w:hAnsiTheme="majorHAnsi"/>
      </w:rPr>
    </w:tblStylePr>
    <w:tblStylePr w:type="band2Horz">
      <w:pPr>
        <w:wordWrap/>
        <w:ind w:leftChars="200" w:left="200"/>
      </w:pPr>
    </w:tblStylePr>
  </w:style>
  <w:style w:type="paragraph" w:styleId="BalloonText">
    <w:name w:val="Balloon Text"/>
    <w:basedOn w:val="Normal"/>
    <w:link w:val="BalloonTextChar"/>
    <w:pPr>
      <w:spacing w:after="0"/>
    </w:pPr>
    <w:rPr>
      <w:rFonts w:ascii="ヒラギノ角ゴ ProN W3" w:eastAsia="ヒラギノ角ゴ ProN W3"/>
      <w:sz w:val="18"/>
      <w:szCs w:val="18"/>
    </w:rPr>
  </w:style>
  <w:style w:type="character" w:customStyle="1" w:styleId="BalloonTextChar">
    <w:name w:val="Balloon Text Char"/>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No Spacing Char"/>
    <w:basedOn w:val="DefaultParagraphFont"/>
    <w:link w:val="NoSpacing"/>
    <w:uiPriority w:val="1"/>
    <w:rPr>
      <w:kern w:val="0"/>
      <w:sz w:val="22"/>
      <w:szCs w:val="22"/>
    </w:rPr>
  </w:style>
  <w:style w:type="paragraph" w:styleId="TOCHeading">
    <w:name w:val="TOC Heading"/>
    <w:basedOn w:val="Normal"/>
    <w:qFormat/>
    <w:pPr>
      <w:widowControl/>
    </w:pPr>
    <w:rPr>
      <w:rFonts w:asciiTheme="majorHAnsi" w:eastAsiaTheme="majorEastAsia" w:hAnsiTheme="majorHAnsi" w:cstheme="majorBidi"/>
      <w:b/>
      <w:bCs/>
      <w:color w:val="404040"/>
      <w:sz w:val="32"/>
    </w:rPr>
  </w:style>
  <w:style w:type="paragraph" w:styleId="TOC1">
    <w:name w:val="toc 1"/>
    <w:basedOn w:val="Normal"/>
    <w:next w:val="Normal"/>
    <w:autoRedefine/>
    <w:uiPriority w:val="39"/>
  </w:style>
  <w:style w:type="paragraph" w:styleId="TOC2">
    <w:name w:val="toc 2"/>
    <w:basedOn w:val="Normal"/>
    <w:next w:val="Normal"/>
    <w:autoRedefine/>
    <w:uiPriority w:val="39"/>
    <w:unhideWhenUsed/>
    <w:pPr>
      <w:ind w:leftChars="100" w:left="210"/>
    </w:pPr>
  </w:style>
  <w:style w:type="paragraph" w:styleId="TOC3">
    <w:name w:val="toc 3"/>
    <w:basedOn w:val="Normal"/>
    <w:next w:val="Normal"/>
    <w:autoRedefine/>
    <w:uiPriority w:val="39"/>
    <w:unhideWhenUsed/>
    <w:pPr>
      <w:ind w:leftChars="200" w:left="420"/>
    </w:pPr>
  </w:style>
  <w:style w:type="paragraph" w:styleId="TOC4">
    <w:name w:val="toc 4"/>
    <w:basedOn w:val="Normal"/>
    <w:next w:val="Normal"/>
    <w:autoRedefine/>
    <w:uiPriority w:val="39"/>
    <w:unhideWhenUsed/>
    <w:pPr>
      <w:ind w:leftChars="300" w:left="630"/>
    </w:pPr>
  </w:style>
  <w:style w:type="paragraph" w:styleId="TOC5">
    <w:name w:val="toc 5"/>
    <w:basedOn w:val="Normal"/>
    <w:next w:val="Normal"/>
    <w:autoRedefine/>
    <w:uiPriority w:val="39"/>
    <w:unhideWhenUsed/>
    <w:pPr>
      <w:ind w:leftChars="400" w:left="840"/>
    </w:pPr>
  </w:style>
  <w:style w:type="paragraph" w:styleId="Header">
    <w:name w:val="header"/>
    <w:basedOn w:val="Normal"/>
    <w:link w:val="HeaderChar"/>
    <w:pPr>
      <w:tabs>
        <w:tab w:val="center" w:pos="4252"/>
        <w:tab w:val="right" w:pos="8504"/>
      </w:tabs>
      <w:snapToGrid w:val="0"/>
    </w:pPr>
  </w:style>
  <w:style w:type="character" w:customStyle="1" w:styleId="HeaderChar">
    <w:name w:val="Header Char"/>
    <w:basedOn w:val="DefaultParagraphFont"/>
    <w:link w:val="Header"/>
    <w:rPr>
      <w:sz w:val="21"/>
    </w:rPr>
  </w:style>
  <w:style w:type="paragraph" w:styleId="Footer">
    <w:name w:val="footer"/>
    <w:basedOn w:val="Normal"/>
    <w:link w:val="FooterChar"/>
    <w:pPr>
      <w:tabs>
        <w:tab w:val="center" w:pos="4252"/>
        <w:tab w:val="right" w:pos="8504"/>
      </w:tabs>
      <w:snapToGrid w:val="0"/>
    </w:pPr>
  </w:style>
  <w:style w:type="character" w:customStyle="1" w:styleId="FooterChar">
    <w:name w:val="Footer Char"/>
    <w:basedOn w:val="DefaultParagraphFont"/>
    <w:link w:val="Footer"/>
    <w:rPr>
      <w:sz w:val="21"/>
    </w:rPr>
  </w:style>
  <w:style w:type="character" w:styleId="FootnoteReference">
    <w:name w:val="footnote reference"/>
    <w:basedOn w:val="DefaultParagraphFont"/>
    <w:uiPriority w:val="99"/>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unhideWhenUsed/>
    <w:pPr>
      <w:spacing w:after="0"/>
    </w:pPr>
    <w:rPr>
      <w:szCs w:val="20"/>
    </w:rPr>
  </w:style>
  <w:style w:type="paragraph" w:styleId="Bibliography">
    <w:name w:val="Bibliography"/>
    <w:basedOn w:val="Normal"/>
    <w:uiPriority w:val="99"/>
    <w:unhideWhenUsed/>
    <w:rPr>
      <w:color w:val="808080"/>
    </w:rPr>
  </w:style>
  <w:style w:type="paragraph" w:customStyle="1" w:styleId="Transition">
    <w:name w:val="Transition"/>
    <w:unhideWhenUsed/>
    <w:qFormat/>
    <w:pPr>
      <w:pBdr>
        <w:bottom w:val="single" w:sz="8" w:space="1" w:color="auto"/>
      </w:pBdr>
      <w:spacing w:after="100"/>
    </w:pPr>
    <w:rPr>
      <w:sz w:val="16"/>
    </w:rPr>
  </w:style>
  <w:style w:type="paragraph" w:customStyle="1" w:styleId="TableBottomMargin">
    <w:name w:val="Table Bottom Margin"/>
    <w:semiHidden/>
    <w:qFormat/>
    <w:rPr>
      <w:sz w:val="16"/>
    </w:rPr>
  </w:style>
  <w:style w:type="paragraph" w:styleId="BodyText">
    <w:name w:val="Body Text"/>
    <w:basedOn w:val="Normal"/>
    <w:link w:val="BodyTextChar"/>
    <w:unhideWhenUsed/>
    <w:qFormat/>
    <w:rsid w:val="00821190"/>
    <w:pPr>
      <w:spacing w:before="120" w:after="120"/>
    </w:pPr>
  </w:style>
  <w:style w:type="paragraph" w:customStyle="1" w:styleId="Legend">
    <w:name w:val="Legend"/>
    <w:basedOn w:val="Normal"/>
    <w:unhideWhenUsed/>
    <w:qFormat/>
    <w:rPr>
      <w:sz w:val="18"/>
    </w:rPr>
  </w:style>
  <w:style w:type="paragraph" w:customStyle="1" w:styleId="MathBlock">
    <w:name w:val="Math Block"/>
    <w:basedOn w:val="Normal"/>
    <w:unhideWhenUsed/>
    <w:qFormat/>
  </w:style>
  <w:style w:type="paragraph" w:customStyle="1" w:styleId="Figure">
    <w:name w:val="Figure"/>
    <w:basedOn w:val="Normal"/>
    <w:unhideWhenUsed/>
    <w:qFormat/>
  </w:style>
  <w:style w:type="paragraph" w:customStyle="1" w:styleId="Heading">
    <w:name w:val="Heading"/>
    <w:basedOn w:val="Normal"/>
    <w:semiHidden/>
    <w:qFormat/>
    <w:rsid w:val="00C870E4"/>
  </w:style>
  <w:style w:type="paragraph" w:customStyle="1" w:styleId="RubricTitleHeading">
    <w:name w:val="Rubric Title Heading"/>
    <w:basedOn w:val="TitleHeading"/>
    <w:unhideWhenUsed/>
    <w:qFormat/>
  </w:style>
  <w:style w:type="table" w:customStyle="1" w:styleId="ListTable">
    <w:name w:val="List Table"/>
    <w:basedOn w:val="TableNormal"/>
    <w:semiHidden/>
    <w:qFormat/>
    <w:tblPr/>
  </w:style>
  <w:style w:type="table" w:customStyle="1" w:styleId="HorizontalList">
    <w:name w:val="Horizontal List"/>
    <w:basedOn w:val="ListTable"/>
    <w:semiHidden/>
    <w:unhideWhenUsed/>
    <w:qFormat/>
    <w:tblPr/>
  </w:style>
  <w:style w:type="paragraph" w:customStyle="1" w:styleId="Image">
    <w:name w:val="Image"/>
    <w:basedOn w:val="Normal"/>
    <w:unhideWhenUsed/>
    <w:qFormat/>
    <w:rsid w:val="005D5795"/>
    <w:pPr>
      <w:jc w:val="center"/>
    </w:pPr>
  </w:style>
  <w:style w:type="paragraph" w:customStyle="1" w:styleId="TopicTitleHeading">
    <w:name w:val="Topic Title Heading"/>
    <w:basedOn w:val="TitleHeading"/>
    <w:unhideWhenUsed/>
    <w:qFormat/>
  </w:style>
  <w:style w:type="character" w:customStyle="1" w:styleId="BodyTextChar">
    <w:name w:val="Body Text Char"/>
    <w:basedOn w:val="DefaultParagraphFont"/>
    <w:link w:val="BodyText"/>
    <w:rsid w:val="00821190"/>
    <w:rPr>
      <w:color w:val="333333"/>
      <w:sz w:val="20"/>
    </w:rPr>
  </w:style>
  <w:style w:type="paragraph" w:customStyle="1" w:styleId="table-level-3">
    <w:name w:val="table-level-3"/>
    <w:basedOn w:val="Normal"/>
    <w:qFormat/>
    <w:rsid w:val="002407E6"/>
    <w:pPr>
      <w:pBdr>
        <w:bottom w:val="single" w:sz="4" w:space="1" w:color="auto"/>
      </w:pBdr>
      <w:shd w:val="clear" w:color="auto" w:fill="4D79C7"/>
      <w:spacing w:after="0" w:line="220" w:lineRule="atLeast"/>
      <w:jc w:val="center"/>
    </w:pPr>
    <w:rPr>
      <w:b/>
      <w:color w:val="FFFFFF" w:themeColor="background1"/>
    </w:rPr>
  </w:style>
  <w:style w:type="paragraph" w:customStyle="1" w:styleId="index-table-level-3">
    <w:name w:val="index-table-level-3"/>
    <w:basedOn w:val="Normal"/>
    <w:qFormat/>
    <w:rsid w:val="002407E6"/>
    <w:pPr>
      <w:pBdr>
        <w:bottom w:val="single" w:sz="4" w:space="1" w:color="254275"/>
      </w:pBdr>
      <w:shd w:val="clear" w:color="auto" w:fill="4D79C7"/>
      <w:spacing w:after="0" w:line="220" w:lineRule="atLeast"/>
      <w:jc w:val="left"/>
    </w:pPr>
    <w:rPr>
      <w:b/>
      <w:color w:val="FFFFFF" w:themeColor="background1"/>
    </w:rPr>
  </w:style>
  <w:style w:type="paragraph" w:customStyle="1" w:styleId="index-table-level-underline-3">
    <w:name w:val="index-table-level-underline-3"/>
    <w:basedOn w:val="index-table-level-3"/>
    <w:qFormat/>
    <w:rsid w:val="00863949"/>
    <w:rPr>
      <w:u w:val="single"/>
    </w:rPr>
  </w:style>
  <w:style w:type="paragraph" w:customStyle="1" w:styleId="table-level-1">
    <w:name w:val="table-level-1"/>
    <w:basedOn w:val="table-level-3"/>
    <w:qFormat/>
    <w:rsid w:val="000D5DED"/>
    <w:pPr>
      <w:shd w:val="clear" w:color="auto" w:fill="F6F8FC"/>
    </w:pPr>
    <w:rPr>
      <w:b w:val="0"/>
      <w:color w:val="333333"/>
    </w:rPr>
  </w:style>
  <w:style w:type="paragraph" w:customStyle="1" w:styleId="index-table-level-1">
    <w:name w:val="index-table-level-1"/>
    <w:basedOn w:val="Normal"/>
    <w:qFormat/>
    <w:rsid w:val="00DA625A"/>
    <w:pPr>
      <w:pBdr>
        <w:bottom w:val="single" w:sz="4" w:space="1" w:color="auto"/>
      </w:pBdr>
      <w:shd w:val="clear" w:color="auto" w:fill="F6F8FC"/>
      <w:spacing w:after="0" w:line="220" w:lineRule="atLeast"/>
      <w:ind w:left="159"/>
      <w:jc w:val="left"/>
    </w:pPr>
  </w:style>
  <w:style w:type="paragraph" w:customStyle="1" w:styleId="index-table-level-underline-1">
    <w:name w:val="index-table-level-underline-1"/>
    <w:basedOn w:val="index-table-level-1"/>
    <w:qFormat/>
    <w:rsid w:val="00D20E6C"/>
    <w:rPr>
      <w:u w:val="single"/>
    </w:rPr>
  </w:style>
  <w:style w:type="paragraph" w:customStyle="1" w:styleId="table-level-2">
    <w:name w:val="table-level-2"/>
    <w:basedOn w:val="table-level-3"/>
    <w:qFormat/>
    <w:rsid w:val="000D5DED"/>
    <w:pPr>
      <w:shd w:val="clear" w:color="auto" w:fill="7F9ED7"/>
    </w:pPr>
    <w:rPr>
      <w:rFonts w:cs="Times New Roman (Body CS)"/>
      <w:iCs/>
    </w:rPr>
  </w:style>
  <w:style w:type="paragraph" w:customStyle="1" w:styleId="Title1">
    <w:name w:val="Title1"/>
    <w:basedOn w:val="Normal"/>
    <w:qFormat/>
    <w:rsid w:val="00DD3BA8"/>
    <w:pPr>
      <w:spacing w:before="3000" w:after="200"/>
      <w:jc w:val="center"/>
    </w:pPr>
    <w:rPr>
      <w:b/>
      <w:sz w:val="40"/>
    </w:rPr>
  </w:style>
  <w:style w:type="paragraph" w:customStyle="1" w:styleId="Subtitle1">
    <w:name w:val="Subtitle1"/>
    <w:basedOn w:val="Title1"/>
    <w:qFormat/>
    <w:rsid w:val="004F6732"/>
    <w:pPr>
      <w:spacing w:before="240" w:after="3000"/>
    </w:pPr>
    <w:rPr>
      <w:sz w:val="30"/>
    </w:rPr>
  </w:style>
  <w:style w:type="table" w:customStyle="1" w:styleId="first-page-table">
    <w:name w:val="first-page-table"/>
    <w:basedOn w:val="TableNormal"/>
    <w:uiPriority w:val="99"/>
    <w:rsid w:val="00366BE4"/>
    <w:rPr>
      <w:sz w:val="20"/>
    </w:rPr>
    <w:tblPr>
      <w:jc w:val="center"/>
      <w:tblCellMar>
        <w:left w:w="0" w:type="dxa"/>
        <w:right w:w="0" w:type="dxa"/>
      </w:tblCellMar>
    </w:tblPr>
    <w:trPr>
      <w:jc w:val="center"/>
    </w:trPr>
    <w:tblStylePr w:type="firstCol">
      <w:pPr>
        <w:jc w:val="left"/>
      </w:pPr>
      <w:tblPr/>
      <w:tcPr>
        <w:vAlign w:val="center"/>
      </w:tcPr>
    </w:tblStylePr>
    <w:tblStylePr w:type="lastCol">
      <w:pPr>
        <w:jc w:val="right"/>
      </w:pPr>
      <w:tblPr/>
      <w:tcPr>
        <w:vAlign w:val="center"/>
      </w:tcPr>
    </w:tblStylePr>
  </w:style>
  <w:style w:type="table" w:customStyle="1" w:styleId="report-info-table">
    <w:name w:val="report-info-table"/>
    <w:basedOn w:val="first-page-table"/>
    <w:uiPriority w:val="99"/>
    <w:rsid w:val="00366BE4"/>
    <w:tblPr/>
    <w:tcPr>
      <w:vAlign w:val="center"/>
    </w:tcPr>
    <w:tblStylePr w:type="firstCol">
      <w:pPr>
        <w:jc w:val="left"/>
      </w:pPr>
      <w:tblPr/>
      <w:tcPr>
        <w:vAlign w:val="center"/>
      </w:tcPr>
    </w:tblStylePr>
    <w:tblStylePr w:type="lastCol">
      <w:pPr>
        <w:jc w:val="right"/>
      </w:pPr>
      <w:tblPr/>
      <w:tcPr>
        <w:vAlign w:val="center"/>
      </w:tcPr>
    </w:tblStylePr>
  </w:style>
  <w:style w:type="character" w:customStyle="1" w:styleId="Heading6Char">
    <w:name w:val="Heading 6 Char"/>
    <w:basedOn w:val="DefaultParagraphFont"/>
    <w:link w:val="Heading6"/>
    <w:rsid w:val="00C870E4"/>
    <w:rPr>
      <w:rFonts w:eastAsiaTheme="majorEastAsia" w:cstheme="majorBidi"/>
      <w:b/>
      <w:i/>
      <w:color w:val="000000" w:themeColor="text1"/>
      <w:sz w:val="20"/>
    </w:rPr>
  </w:style>
  <w:style w:type="table" w:styleId="TableClassic1">
    <w:name w:val="Table Classic 1"/>
    <w:aliases w:val="Table"/>
    <w:basedOn w:val="TableNormal"/>
    <w:semiHidden/>
    <w:unhideWhenUsed/>
    <w:rsid w:val="00EC0999"/>
    <w:pPr>
      <w:widowControl w:val="0"/>
      <w:spacing w:after="100" w:line="280" w:lineRule="atLeast"/>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level-0">
    <w:name w:val="table-level-0"/>
    <w:basedOn w:val="table-level-3"/>
    <w:qFormat/>
    <w:rsid w:val="00DA625A"/>
    <w:pPr>
      <w:pBdr>
        <w:bottom w:val="none" w:sz="0" w:space="0" w:color="auto"/>
      </w:pBdr>
      <w:shd w:val="clear" w:color="auto" w:fill="auto"/>
      <w:spacing w:line="200" w:lineRule="atLeast"/>
    </w:pPr>
    <w:rPr>
      <w:b w:val="0"/>
      <w:iCs/>
      <w:color w:val="2740FE"/>
      <w:sz w:val="18"/>
    </w:rPr>
  </w:style>
  <w:style w:type="paragraph" w:customStyle="1" w:styleId="index-table-level-2">
    <w:name w:val="index-table-level-2"/>
    <w:basedOn w:val="Normal"/>
    <w:qFormat/>
    <w:rsid w:val="00163136"/>
    <w:pPr>
      <w:pBdr>
        <w:bottom w:val="single" w:sz="4" w:space="1" w:color="auto"/>
      </w:pBdr>
      <w:shd w:val="clear" w:color="auto" w:fill="7F9ED7"/>
      <w:spacing w:after="0" w:line="220" w:lineRule="atLeast"/>
      <w:ind w:left="79"/>
      <w:jc w:val="left"/>
    </w:pPr>
    <w:rPr>
      <w:b/>
      <w:iCs/>
      <w:color w:val="FFFFFF" w:themeColor="background1"/>
    </w:rPr>
  </w:style>
  <w:style w:type="paragraph" w:customStyle="1" w:styleId="index-table-level-0">
    <w:name w:val="index-table-level-0"/>
    <w:basedOn w:val="Normal"/>
    <w:qFormat/>
    <w:rsid w:val="000D5DED"/>
    <w:pPr>
      <w:spacing w:after="0" w:line="200" w:lineRule="atLeast"/>
      <w:ind w:left="238"/>
      <w:jc w:val="left"/>
    </w:pPr>
    <w:rPr>
      <w:color w:val="2740FE"/>
      <w:sz w:val="18"/>
    </w:rPr>
  </w:style>
  <w:style w:type="paragraph" w:customStyle="1" w:styleId="index-table-level-underline-0">
    <w:name w:val="index-table-level-underline-0"/>
    <w:basedOn w:val="index-table-level-0"/>
    <w:qFormat/>
    <w:rsid w:val="001D3FA4"/>
    <w:rPr>
      <w:iCs/>
      <w:u w:val="single"/>
    </w:rPr>
  </w:style>
  <w:style w:type="paragraph" w:customStyle="1" w:styleId="index-table-level-underline-2">
    <w:name w:val="index-table-level-underline-2"/>
    <w:basedOn w:val="index-table-level-2"/>
    <w:qFormat/>
    <w:rsid w:val="001D3FA4"/>
    <w:rPr>
      <w:iCs w:val="0"/>
      <w:u w:val="single"/>
    </w:rPr>
  </w:style>
  <w:style w:type="paragraph" w:customStyle="1" w:styleId="table-level-100">
    <w:name w:val="table-level-100"/>
    <w:basedOn w:val="table-level-0"/>
    <w:qFormat/>
    <w:rsid w:val="00DA625A"/>
    <w:rPr>
      <w:i/>
      <w:iCs w:val="0"/>
    </w:rPr>
  </w:style>
  <w:style w:type="paragraph" w:customStyle="1" w:styleId="table-level-300">
    <w:name w:val="table-level-300"/>
    <w:basedOn w:val="table-level-3"/>
    <w:qFormat/>
    <w:rsid w:val="0083075C"/>
    <w:pPr>
      <w:pBdr>
        <w:bottom w:val="none" w:sz="0" w:space="0" w:color="auto"/>
      </w:pBdr>
      <w:shd w:val="clear" w:color="auto" w:fill="DADAD8"/>
      <w:spacing w:before="60" w:after="60"/>
    </w:pPr>
    <w:rPr>
      <w:iCs/>
      <w:color w:val="333333"/>
    </w:rPr>
  </w:style>
  <w:style w:type="paragraph" w:customStyle="1" w:styleId="index-table-level-100">
    <w:name w:val="index-table-level-100"/>
    <w:basedOn w:val="index-table-level-0"/>
    <w:qFormat/>
    <w:rsid w:val="000D5DED"/>
    <w:pPr>
      <w:ind w:left="240"/>
    </w:pPr>
    <w:rPr>
      <w:i/>
      <w:iCs/>
    </w:rPr>
  </w:style>
  <w:style w:type="paragraph" w:customStyle="1" w:styleId="index-table-level-300">
    <w:name w:val="index-table-level-300"/>
    <w:basedOn w:val="Normal"/>
    <w:qFormat/>
    <w:rsid w:val="0083075C"/>
    <w:pPr>
      <w:shd w:val="clear" w:color="auto" w:fill="DADAD8"/>
      <w:spacing w:before="60" w:after="60" w:line="220" w:lineRule="atLeast"/>
      <w:jc w:val="left"/>
    </w:pPr>
    <w:rPr>
      <w:b/>
      <w:iCs/>
    </w:rPr>
  </w:style>
  <w:style w:type="paragraph" w:customStyle="1" w:styleId="index-table-level-underline-100">
    <w:name w:val="index-table-level-underline-100"/>
    <w:basedOn w:val="table-level-100"/>
    <w:qFormat/>
    <w:rsid w:val="001D3FA4"/>
    <w:pPr>
      <w:ind w:left="240"/>
    </w:pPr>
    <w:rPr>
      <w:iCs/>
      <w:u w:val="single"/>
    </w:rPr>
  </w:style>
  <w:style w:type="paragraph" w:customStyle="1" w:styleId="index-table-level-underline-300">
    <w:name w:val="index-table-level-underline-300"/>
    <w:basedOn w:val="index-table-level-300"/>
    <w:qFormat/>
    <w:rsid w:val="001D3FA4"/>
    <w:rPr>
      <w:iCs w:val="0"/>
    </w:rPr>
  </w:style>
  <w:style w:type="table" w:customStyle="1" w:styleId="table-custom">
    <w:name w:val="table-custom"/>
    <w:uiPriority w:val="99"/>
    <w:rsid w:val="0083075C"/>
    <w:pPr>
      <w:jc w:val="center"/>
    </w:pPr>
    <w:rPr>
      <w:kern w:val="0"/>
      <w:sz w:val="20"/>
      <w:szCs w:val="20"/>
      <w:lang w:val="en-IT" w:eastAsia="en-GB"/>
    </w:rPr>
    <w:tblPr>
      <w:tblCellMar>
        <w:top w:w="0" w:type="dxa"/>
        <w:left w:w="0" w:type="dxa"/>
        <w:bottom w:w="0" w:type="dxa"/>
        <w:right w:w="0" w:type="dxa"/>
      </w:tblCellMar>
    </w:tblPr>
    <w:tcPr>
      <w:tcMar>
        <w:left w:w="0" w:type="dxa"/>
        <w:right w:w="0" w:type="dxa"/>
      </w:tcMar>
    </w:tcPr>
    <w:tblStylePr w:type="firstRow">
      <w:pPr>
        <w:wordWrap/>
        <w:spacing w:afterLines="0" w:line="280" w:lineRule="atLeast"/>
      </w:pPr>
      <w:rPr>
        <w:rFonts w:asciiTheme="minorHAnsi" w:hAnsiTheme="minorHAnsi"/>
        <w:b/>
        <w:sz w:val="20"/>
      </w:rPr>
      <w:tblPr/>
      <w:tcPr>
        <w:tcBorders>
          <w:top w:val="single" w:sz="4" w:space="0" w:color="auto"/>
          <w:left w:val="single" w:sz="4" w:space="0" w:color="auto"/>
          <w:bottom w:val="single" w:sz="4" w:space="0" w:color="auto"/>
          <w:right w:val="single" w:sz="4" w:space="0" w:color="auto"/>
        </w:tcBorders>
      </w:tcPr>
    </w:tblStylePr>
    <w:tblStylePr w:type="firstCol">
      <w:pPr>
        <w:wordWrap/>
        <w:spacing w:line="240" w:lineRule="auto"/>
        <w:jc w:val="left"/>
      </w:pPr>
      <w:tblPr/>
      <w:tcPr>
        <w:tcBorders>
          <w:top w:val="nil"/>
          <w:left w:val="nil"/>
          <w:bottom w:val="nil"/>
          <w:right w:val="single" w:sz="4" w:space="0" w:color="auto"/>
          <w:insideH w:val="nil"/>
          <w:insideV w:val="nil"/>
          <w:tl2br w:val="nil"/>
          <w:tr2bl w:val="nil"/>
        </w:tcBorders>
      </w:tcPr>
    </w:tblStylePr>
    <w:tblStylePr w:type="lastCol">
      <w:tblPr/>
      <w:tcPr>
        <w:vAlign w:val="center"/>
      </w:tcPr>
    </w:tblStylePr>
  </w:style>
  <w:style w:type="paragraph" w:customStyle="1" w:styleId="Title2">
    <w:name w:val="Title2"/>
    <w:basedOn w:val="Normal"/>
    <w:qFormat/>
    <w:rsid w:val="00710EEE"/>
    <w:pPr>
      <w:spacing w:before="3000" w:after="200"/>
      <w:jc w:val="center"/>
    </w:pPr>
    <w:rPr>
      <w:b/>
      <w:color w:val="000000" w:themeColor="text1"/>
      <w:sz w:val="40"/>
    </w:rPr>
  </w:style>
  <w:style w:type="paragraph" w:customStyle="1" w:styleId="Subtitle2">
    <w:name w:val="Subtitle2"/>
    <w:basedOn w:val="Title2"/>
    <w:qFormat/>
    <w:rsid w:val="00710EEE"/>
    <w:pPr>
      <w:spacing w:before="200" w:after="3000"/>
    </w:pPr>
    <w:rPr>
      <w:sz w:val="30"/>
    </w:rPr>
  </w:style>
  <w:style w:type="paragraph" w:customStyle="1" w:styleId="table-level-columns">
    <w:name w:val="table-level-columns"/>
    <w:basedOn w:val="Normal"/>
    <w:qFormat/>
    <w:rsid w:val="00E54A65"/>
    <w:pPr>
      <w:jc w:val="center"/>
    </w:pPr>
  </w:style>
  <w:style w:type="paragraph" w:customStyle="1" w:styleId="Title3">
    <w:name w:val="Title3"/>
    <w:basedOn w:val="Normal"/>
    <w:link w:val="titleChar0"/>
    <w:qFormat/>
    <w:rsid w:val="00805115"/>
    <w:pPr>
      <w:spacing w:before="3000" w:after="200"/>
      <w:jc w:val="center"/>
    </w:pPr>
    <w:rPr>
      <w:b/>
      <w:color w:val="000000" w:themeColor="text1"/>
      <w:sz w:val="40"/>
    </w:rPr>
  </w:style>
  <w:style w:type="character" w:customStyle="1" w:styleId="titleChar0">
    <w:name w:val="title Char"/>
    <w:basedOn w:val="DefaultParagraphFont"/>
    <w:link w:val="Title3"/>
    <w:rsid w:val="00805115"/>
    <w:rPr>
      <w:b/>
      <w:color w:val="000000" w:themeColor="text1"/>
      <w:sz w:val="40"/>
    </w:rPr>
  </w:style>
  <w:style w:type="paragraph" w:customStyle="1" w:styleId="Subtitle3">
    <w:name w:val="Subtitle3"/>
    <w:basedOn w:val="Title3"/>
    <w:link w:val="subtitleChar0"/>
    <w:qFormat/>
    <w:rsid w:val="00805115"/>
    <w:pPr>
      <w:spacing w:before="200" w:after="3000"/>
    </w:pPr>
    <w:rPr>
      <w:sz w:val="30"/>
    </w:rPr>
  </w:style>
  <w:style w:type="character" w:customStyle="1" w:styleId="subtitleChar0">
    <w:name w:val="subtitle Char"/>
    <w:basedOn w:val="titleChar0"/>
    <w:link w:val="Subtitle3"/>
    <w:rsid w:val="00805115"/>
    <w:rPr>
      <w:b/>
      <w:color w:val="000000" w:themeColor="text1"/>
      <w:sz w:val="30"/>
    </w:rPr>
  </w:style>
  <w:style w:type="character" w:customStyle="1" w:styleId="titleChar1">
    <w:name w:val="title Char1"/>
    <w:basedOn w:val="DefaultParagraphFont"/>
    <w:link w:val="Title4"/>
    <w:rsid w:val="00244890"/>
    <w:rPr>
      <w:b/>
      <w:color w:val="000000" w:themeColor="text1"/>
      <w:kern w:val="0"/>
      <w:sz w:val="40"/>
      <w:szCs w:val="20"/>
      <w:lang w:val="en-IT" w:eastAsia="en-GB"/>
    </w:rPr>
  </w:style>
  <w:style w:type="paragraph" w:customStyle="1" w:styleId="Title4">
    <w:name w:val="Title4"/>
    <w:basedOn w:val="Normal"/>
    <w:link w:val="titleChar1"/>
    <w:qFormat/>
    <w:rsid w:val="00244890"/>
    <w:pPr>
      <w:spacing w:before="3000" w:after="200"/>
      <w:jc w:val="center"/>
    </w:pPr>
    <w:rPr>
      <w:b/>
      <w:color w:val="000000" w:themeColor="text1"/>
      <w:kern w:val="0"/>
      <w:sz w:val="40"/>
      <w:szCs w:val="20"/>
      <w:lang w:val="en-IT" w:eastAsia="en-GB"/>
    </w:rPr>
  </w:style>
  <w:style w:type="paragraph" w:customStyle="1" w:styleId="Subtitle4">
    <w:name w:val="Subtitle4"/>
    <w:basedOn w:val="Title4"/>
    <w:link w:val="subtitleChar1"/>
    <w:qFormat/>
    <w:rsid w:val="00244890"/>
    <w:pPr>
      <w:spacing w:before="200" w:after="3000"/>
    </w:pPr>
    <w:rPr>
      <w:sz w:val="30"/>
    </w:rPr>
  </w:style>
  <w:style w:type="character" w:customStyle="1" w:styleId="subtitleChar1">
    <w:name w:val="subtitle Char1"/>
    <w:basedOn w:val="titleChar1"/>
    <w:link w:val="Subtitle4"/>
    <w:rsid w:val="00244890"/>
    <w:rPr>
      <w:b/>
      <w:color w:val="000000" w:themeColor="text1"/>
      <w:kern w:val="0"/>
      <w:sz w:val="30"/>
      <w:szCs w:val="20"/>
      <w:lang w:val="en-IT" w:eastAsia="en-GB"/>
    </w:rPr>
  </w:style>
  <w:style w:type="table" w:customStyle="1" w:styleId="summary-table-2">
    <w:name w:val="summary-table-2"/>
    <w:basedOn w:val="table-custom"/>
    <w:uiPriority w:val="99"/>
    <w:rsid w:val="003F7817"/>
    <w:tblPr/>
    <w:tblStylePr w:type="firstRow">
      <w:pPr>
        <w:wordWrap/>
        <w:spacing w:afterLines="0" w:line="280" w:lineRule="atLeast"/>
      </w:pPr>
      <w:rPr>
        <w:rFonts w:asciiTheme="minorHAnsi" w:hAnsiTheme="minorHAnsi"/>
        <w:b/>
        <w:sz w:val="20"/>
      </w:rPr>
      <w:tblPr/>
      <w:tcPr>
        <w:tcBorders>
          <w:top w:val="single" w:sz="4" w:space="0" w:color="auto"/>
          <w:left w:val="single" w:sz="4" w:space="0" w:color="auto"/>
          <w:bottom w:val="single" w:sz="4" w:space="0" w:color="auto"/>
          <w:right w:val="single" w:sz="4" w:space="0" w:color="auto"/>
        </w:tcBorders>
        <w:shd w:val="clear" w:color="auto" w:fill="DADAD8"/>
      </w:tcPr>
    </w:tblStylePr>
    <w:tblStylePr w:type="firstCol">
      <w:pPr>
        <w:wordWrap/>
        <w:spacing w:line="240" w:lineRule="auto"/>
        <w:jc w:val="left"/>
      </w:pPr>
      <w:tblPr/>
      <w:tcPr>
        <w:tcBorders>
          <w:top w:val="nil"/>
          <w:left w:val="nil"/>
          <w:bottom w:val="nil"/>
          <w:right w:val="single" w:sz="4" w:space="0" w:color="auto"/>
          <w:insideH w:val="nil"/>
          <w:insideV w:val="nil"/>
          <w:tl2br w:val="nil"/>
          <w:tr2bl w:val="nil"/>
        </w:tcBorders>
      </w:tcPr>
    </w:tblStylePr>
    <w:tblStylePr w:type="lastCol">
      <w:tblPr/>
      <w:tcPr>
        <w:vAlign w:val="center"/>
      </w:tcPr>
    </w:tblStylePr>
  </w:style>
  <w:style w:type="table" w:customStyle="1" w:styleId="summary-table-1">
    <w:name w:val="summary-table-1"/>
    <w:basedOn w:val="table-custom"/>
    <w:uiPriority w:val="99"/>
    <w:rsid w:val="003F7817"/>
    <w:tblPr/>
    <w:tblStylePr w:type="firstRow">
      <w:pPr>
        <w:wordWrap/>
        <w:spacing w:afterLines="0" w:line="280" w:lineRule="atLeast"/>
      </w:pPr>
      <w:rPr>
        <w:rFonts w:asciiTheme="minorHAnsi" w:hAnsiTheme="minorHAnsi"/>
        <w:b/>
        <w:sz w:val="20"/>
      </w:rPr>
      <w:tblPr/>
      <w:tcPr>
        <w:tcBorders>
          <w:top w:val="single" w:sz="4" w:space="0" w:color="auto"/>
          <w:left w:val="single" w:sz="4" w:space="0" w:color="auto"/>
          <w:bottom w:val="single" w:sz="4" w:space="0" w:color="auto"/>
          <w:right w:val="single" w:sz="4" w:space="0" w:color="auto"/>
        </w:tcBorders>
        <w:shd w:val="clear" w:color="auto" w:fill="DADAD8"/>
      </w:tcPr>
    </w:tblStylePr>
    <w:tblStylePr w:type="firstCol">
      <w:pPr>
        <w:wordWrap/>
        <w:spacing w:line="240" w:lineRule="auto"/>
        <w:jc w:val="left"/>
      </w:pPr>
      <w:tblPr/>
      <w:tcPr>
        <w:tcBorders>
          <w:top w:val="nil"/>
          <w:left w:val="nil"/>
          <w:bottom w:val="nil"/>
          <w:right w:val="single" w:sz="4" w:space="0" w:color="auto"/>
          <w:insideH w:val="nil"/>
          <w:insideV w:val="nil"/>
          <w:tl2br w:val="nil"/>
          <w:tr2bl w:val="nil"/>
        </w:tcBorders>
      </w:tcPr>
    </w:tblStylePr>
    <w:tblStylePr w:type="lastCol">
      <w:tblPr/>
      <w:tcPr>
        <w:vAlign w:val="center"/>
      </w:tcPr>
    </w:tblStylePr>
  </w:style>
  <w:style w:type="paragraph" w:customStyle="1" w:styleId="Title5">
    <w:name w:val="Title5"/>
    <w:basedOn w:val="Normal"/>
    <w:link w:val="titleChar2"/>
    <w:qFormat/>
    <w:rsid w:val="00DF2C21"/>
    <w:pPr>
      <w:spacing w:before="3000" w:after="200"/>
      <w:jc w:val="center"/>
    </w:pPr>
    <w:rPr>
      <w:b/>
      <w:color w:val="000000" w:themeColor="text1"/>
      <w:sz w:val="40"/>
    </w:rPr>
  </w:style>
  <w:style w:type="character" w:customStyle="1" w:styleId="titleChar2">
    <w:name w:val="title Char2"/>
    <w:basedOn w:val="DefaultParagraphFont"/>
    <w:link w:val="Title5"/>
    <w:rsid w:val="00DF2C21"/>
    <w:rPr>
      <w:b/>
      <w:color w:val="000000" w:themeColor="text1"/>
      <w:sz w:val="40"/>
    </w:rPr>
  </w:style>
  <w:style w:type="paragraph" w:customStyle="1" w:styleId="Subtitle5">
    <w:name w:val="Subtitle5"/>
    <w:basedOn w:val="Title5"/>
    <w:link w:val="subtitleChar2"/>
    <w:qFormat/>
    <w:rsid w:val="00DF2C21"/>
    <w:pPr>
      <w:spacing w:before="200" w:after="3000"/>
    </w:pPr>
    <w:rPr>
      <w:sz w:val="30"/>
    </w:rPr>
  </w:style>
  <w:style w:type="character" w:customStyle="1" w:styleId="subtitleChar2">
    <w:name w:val="subtitle Char2"/>
    <w:basedOn w:val="titleChar2"/>
    <w:link w:val="Subtitle5"/>
    <w:rsid w:val="00DF2C21"/>
    <w:rPr>
      <w:b/>
      <w:color w:val="000000" w:themeColor="text1"/>
      <w:sz w:val="30"/>
    </w:rPr>
  </w:style>
  <w:style w:type="paragraph" w:customStyle="1" w:styleId="rst-title">
    <w:name w:val="rst-title"/>
    <w:basedOn w:val="Normal"/>
    <w:link w:val="rst-titleChar"/>
    <w:qFormat/>
    <w:rsid w:val="00112F6C"/>
    <w:pPr>
      <w:spacing w:before="3000" w:after="200"/>
      <w:jc w:val="center"/>
    </w:pPr>
    <w:rPr>
      <w:b/>
      <w:sz w:val="40"/>
    </w:rPr>
  </w:style>
  <w:style w:type="character" w:customStyle="1" w:styleId="rst-titleChar">
    <w:name w:val="rst-title Char"/>
    <w:basedOn w:val="DefaultParagraphFont"/>
    <w:link w:val="rst-title"/>
    <w:rsid w:val="00112F6C"/>
    <w:rPr>
      <w:b/>
      <w:color w:val="333333"/>
      <w:sz w:val="40"/>
    </w:rPr>
  </w:style>
  <w:style w:type="paragraph" w:customStyle="1" w:styleId="rst-subtitle">
    <w:name w:val="rst-subtitle"/>
    <w:basedOn w:val="rst-title"/>
    <w:link w:val="rst-subtitleChar"/>
    <w:qFormat/>
    <w:rsid w:val="00112F6C"/>
    <w:pPr>
      <w:spacing w:before="200" w:after="3000"/>
    </w:pPr>
    <w:rPr>
      <w:sz w:val="30"/>
    </w:rPr>
  </w:style>
  <w:style w:type="character" w:customStyle="1" w:styleId="rst-subtitleChar">
    <w:name w:val="rst-subtitle Char"/>
    <w:basedOn w:val="rst-titleChar"/>
    <w:link w:val="rst-subtitle"/>
    <w:rsid w:val="00112F6C"/>
    <w:rPr>
      <w:b/>
      <w:color w:val="333333"/>
      <w:sz w:val="30"/>
    </w:rPr>
  </w:style>
  <w:style w:type="character" w:styleId="PageNumber">
    <w:name w:val="page number"/>
    <w:basedOn w:val="DefaultParagraphFont"/>
    <w:semiHidden/>
    <w:unhideWhenUsed/>
    <w:rsid w:val="00316F63"/>
  </w:style>
  <w:style w:type="paragraph" w:styleId="TOAHeading">
    <w:name w:val="toa heading"/>
    <w:basedOn w:val="Normal"/>
    <w:next w:val="Normal"/>
    <w:semiHidden/>
    <w:unhideWhenUsed/>
    <w:rsid w:val="00F507DB"/>
    <w:pPr>
      <w:spacing w:before="120"/>
    </w:pPr>
    <w:rPr>
      <w:rFonts w:eastAsiaTheme="majorEastAsia" w:cstheme="majorBidi"/>
      <w:b/>
      <w:bCs/>
      <w:sz w:val="24"/>
      <w:szCs w:val="24"/>
    </w:rPr>
  </w:style>
  <w:style w:type="character" w:customStyle="1" w:styleId="red">
    <w:name w:val="red"/>
    <w:basedOn w:val="DefaultParagraphFont"/>
    <w:uiPriority w:val="1"/>
    <w:qFormat/>
    <w:rsid w:val="0032636A"/>
    <w:rPr>
      <w:b w:val="0"/>
      <w:color w:val="A50026"/>
    </w:rPr>
  </w:style>
  <w:style w:type="character" w:customStyle="1" w:styleId="red-yellow">
    <w:name w:val="red-yellow"/>
    <w:basedOn w:val="red"/>
    <w:uiPriority w:val="1"/>
    <w:qFormat/>
    <w:rsid w:val="00BA6A3C"/>
    <w:rPr>
      <w:b w:val="0"/>
      <w:color w:val="F46D43"/>
    </w:rPr>
  </w:style>
  <w:style w:type="character" w:customStyle="1" w:styleId="yellow">
    <w:name w:val="yellow"/>
    <w:basedOn w:val="red-yellow"/>
    <w:uiPriority w:val="1"/>
    <w:qFormat/>
    <w:rsid w:val="00BA6A3C"/>
    <w:rPr>
      <w:b w:val="0"/>
      <w:color w:val="FFCC3D"/>
    </w:rPr>
  </w:style>
  <w:style w:type="character" w:customStyle="1" w:styleId="green-yellow">
    <w:name w:val="green-yellow"/>
    <w:basedOn w:val="yellow"/>
    <w:uiPriority w:val="1"/>
    <w:qFormat/>
    <w:rsid w:val="00BA6A3C"/>
    <w:rPr>
      <w:b w:val="0"/>
      <w:color w:val="A6D96A"/>
      <w:u w:val="none"/>
    </w:rPr>
  </w:style>
  <w:style w:type="character" w:customStyle="1" w:styleId="green">
    <w:name w:val="green"/>
    <w:basedOn w:val="green-yellow"/>
    <w:uiPriority w:val="1"/>
    <w:qFormat/>
    <w:rsid w:val="00BA6A3C"/>
    <w:rPr>
      <w:b w:val="0"/>
      <w:color w:val="006837"/>
      <w:u w:val="none"/>
    </w:rPr>
  </w:style>
  <w:style w:type="character" w:customStyle="1" w:styleId="red-bold">
    <w:name w:val="red-bold"/>
    <w:basedOn w:val="red"/>
    <w:uiPriority w:val="1"/>
    <w:qFormat/>
    <w:rsid w:val="0032636A"/>
    <w:rPr>
      <w:b/>
      <w:color w:val="A50026"/>
    </w:rPr>
  </w:style>
  <w:style w:type="character" w:customStyle="1" w:styleId="red-yellow-bold">
    <w:name w:val="red-yellow-bold"/>
    <w:basedOn w:val="red-yellow"/>
    <w:uiPriority w:val="1"/>
    <w:qFormat/>
    <w:rsid w:val="0032636A"/>
    <w:rPr>
      <w:b/>
      <w:color w:val="F46D43"/>
    </w:rPr>
  </w:style>
  <w:style w:type="character" w:customStyle="1" w:styleId="yellow-bold">
    <w:name w:val="yellow-bold"/>
    <w:basedOn w:val="yellow"/>
    <w:uiPriority w:val="1"/>
    <w:qFormat/>
    <w:rsid w:val="0032636A"/>
    <w:rPr>
      <w:b/>
      <w:color w:val="FFCC3D"/>
    </w:rPr>
  </w:style>
  <w:style w:type="character" w:customStyle="1" w:styleId="green-yellow-bold">
    <w:name w:val="green-yellow-bold"/>
    <w:basedOn w:val="green-yellow"/>
    <w:uiPriority w:val="1"/>
    <w:qFormat/>
    <w:rsid w:val="0032636A"/>
    <w:rPr>
      <w:b/>
      <w:color w:val="A6D96A"/>
      <w:u w:val="none"/>
    </w:rPr>
  </w:style>
  <w:style w:type="character" w:customStyle="1" w:styleId="green-bold">
    <w:name w:val="green-bold"/>
    <w:basedOn w:val="green"/>
    <w:uiPriority w:val="1"/>
    <w:qFormat/>
    <w:rsid w:val="0032636A"/>
    <w:rPr>
      <w:b/>
      <w:color w:val="006837"/>
      <w:u w:val="none"/>
    </w:rPr>
  </w:style>
  <w:style w:type="table" w:customStye="0" w:styleId="Table">
    <w:name w:val="Table"/>
    <w:qFormat/>
    <w:unhideWhenUsed/>
    <w:basedOn w:val="TableNormal"/>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2" Type="http://schemas.openxmlformats.org/officeDocument/2006/relationships/styles" Target="styles.xml"/><Relationship Id="rId13" Type="http://schemas.openxmlformats.org/officeDocument/2006/relationships/numbering" Target="numbering.xml"/><Relationship Id="rId14" Type="http://schemas.openxmlformats.org/officeDocument/2006/relationships/footnotes" Target="footnotes.xml"/><Relationship Id="rId15" Type="http://schemas.openxmlformats.org/officeDocument/2006/relationships/settings" Target="settings.xml"/><Relationship Id="rId16" Type="http://schemas.openxmlformats.org/officeDocument/2006/relationships/customXml" Target="../customXml/item2.xm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hyperlink" Target="link-executive-summary" TargetMode="External"/><Relationship Id="rId20" Type="http://schemas.openxmlformats.org/officeDocument/2006/relationships/hyperlink" Target="link-stato-patrimoniale" TargetMode="External"/><Relationship Id="rId21" Type="http://schemas.openxmlformats.org/officeDocument/2006/relationships/hyperlink" Target="link-conto-economico" TargetMode="External"/><Relationship Id="rId22" Type="http://schemas.openxmlformats.org/officeDocument/2006/relationships/hyperlink" Target="link-rendiconto-finanziario" TargetMode="External"/><Relationship Id="rId23" Type="http://schemas.openxmlformats.org/officeDocument/2006/relationships/hyperlink" Target="link-indici" TargetMode="External"/><Relationship Id="rId24" Type="http://schemas.openxmlformats.org/officeDocument/2006/relationships/hyperlink" Target="link-crisi" TargetMode="External"/><Relationship Id="rId25" Type="http://schemas.openxmlformats.org/officeDocument/2006/relationships/hyperlink" Target="link-mcc"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image" Target="media/image61.png"/><Relationship Id="rId85" Type="http://schemas.openxmlformats.org/officeDocument/2006/relationships/image" Target="media/image62.pn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image" Target="media/image71.png"/><Relationship Id="rId95" Type="http://schemas.openxmlformats.org/officeDocument/2006/relationships/image" Target="media/image72.png"/><Relationship Id="rId96" Type="http://schemas.openxmlformats.org/officeDocument/2006/relationships/image" Target="media/image73.pn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image" Target="media/image76.pn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image" Target="media/image86.png"/><Relationship Id="rId110" Type="http://schemas.openxmlformats.org/officeDocument/2006/relationships/image" Target="media/image87.png"/><Relationship Id="rId111" Type="http://schemas.openxmlformats.org/officeDocument/2006/relationships/image" Target="media/image88.png"/><Relationship Id="rId112" Type="http://schemas.openxmlformats.org/officeDocument/2006/relationships/image" Target="media/image89.png"/><Relationship Id="rId113" Type="http://schemas.openxmlformats.org/officeDocument/2006/relationships/image" Target="media/image90.png"/><Relationship Id="rId114" Type="http://schemas.openxmlformats.org/officeDocument/2006/relationships/image" Target="media/image91.png"/><Relationship Id="rId115" Type="http://schemas.openxmlformats.org/officeDocument/2006/relationships/image" Target="media/image92.png"/><Relationship Id="rId116" Type="http://schemas.openxmlformats.org/officeDocument/2006/relationships/image" Target="media/image93.png"/><Relationship Id="rId117" Type="http://schemas.openxmlformats.org/officeDocument/2006/relationships/image" Target="media/image94.png"/><Relationship Id="rId118" Type="http://schemas.openxmlformats.org/officeDocument/2006/relationships/image" Target="media/image95.png"/><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image" Target="media/image116.png"/><Relationship Id="rId140" Type="http://schemas.openxmlformats.org/officeDocument/2006/relationships/image" Target="media/image117.png"/><Relationship Id="rId141" Type="http://schemas.openxmlformats.org/officeDocument/2006/relationships/image" Target="media/image118.png"/><Relationship Id="rId142" Type="http://schemas.openxmlformats.org/officeDocument/2006/relationships/image" Target="media/image119.png"/><Relationship Id="rId143" Type="http://schemas.openxmlformats.org/officeDocument/2006/relationships/hyperlink" Target="./glossary.html#term-indebitamento_" TargetMode="External"/><Relationship Id="rId144" Type="http://schemas.openxmlformats.org/officeDocument/2006/relationships/image" Target="media/image120.png"/><Relationship Id="rId145" Type="http://schemas.openxmlformats.org/officeDocument/2006/relationships/image" Target="media/image121.png"/><Relationship Id="rId146" Type="http://schemas.openxmlformats.org/officeDocument/2006/relationships/hyperlink" Target="./glossary.html#term-indebitamento-oneroso_" TargetMode="External"/><Relationship Id="rId147" Type="http://schemas.openxmlformats.org/officeDocument/2006/relationships/image" Target="media/image122.png"/><Relationship Id="rId148" Type="http://schemas.openxmlformats.org/officeDocument/2006/relationships/image" Target="media/image123.png"/><Relationship Id="rId149" Type="http://schemas.openxmlformats.org/officeDocument/2006/relationships/hyperlink" Target="./glossary.html#term-capacita-rimborso_" TargetMode="External"/><Relationship Id="rId150" Type="http://schemas.openxmlformats.org/officeDocument/2006/relationships/image" Target="media/image124.png"/><Relationship Id="rId151" Type="http://schemas.openxmlformats.org/officeDocument/2006/relationships/image" Target="media/image125.png"/><Relationship Id="rId152" Type="http://schemas.openxmlformats.org/officeDocument/2006/relationships/hyperlink" Target="./glossary.html#term-copertura-immobilizzazioni_" TargetMode="External"/><Relationship Id="rId153" Type="http://schemas.openxmlformats.org/officeDocument/2006/relationships/image" Target="media/image126.png"/><Relationship Id="rId154" Type="http://schemas.openxmlformats.org/officeDocument/2006/relationships/image" Target="media/image127.png"/><Relationship Id="rId155" Type="http://schemas.openxmlformats.org/officeDocument/2006/relationships/hyperlink" Target="./glossary.html#term-obsolenscanza-imm-mat_" TargetMode="External"/><Relationship Id="rId156" Type="http://schemas.openxmlformats.org/officeDocument/2006/relationships/image" Target="media/image128.png"/><Relationship Id="rId157" Type="http://schemas.openxmlformats.org/officeDocument/2006/relationships/image" Target="media/image129.png"/><Relationship Id="rId158" Type="http://schemas.openxmlformats.org/officeDocument/2006/relationships/hyperlink" Target="./glossary.html#term-onerosita-finanziamenti_" TargetMode="External"/><Relationship Id="rId159" Type="http://schemas.openxmlformats.org/officeDocument/2006/relationships/image" Target="media/image130.png"/><Relationship Id="rId160" Type="http://schemas.openxmlformats.org/officeDocument/2006/relationships/image" Target="media/image131.png"/><Relationship Id="rId161" Type="http://schemas.openxmlformats.org/officeDocument/2006/relationships/hyperlink" Target="./glossary.html#term-roe_" TargetMode="External"/><Relationship Id="rId162" Type="http://schemas.openxmlformats.org/officeDocument/2006/relationships/image" Target="media/image132.png"/><Relationship Id="rId163" Type="http://schemas.openxmlformats.org/officeDocument/2006/relationships/image" Target="media/image133.png"/><Relationship Id="rId164" Type="http://schemas.openxmlformats.org/officeDocument/2006/relationships/hyperlink" Target="./glossary.html#term-roi_" TargetMode="External"/><Relationship Id="rId165" Type="http://schemas.openxmlformats.org/officeDocument/2006/relationships/image" Target="media/image134.png"/><Relationship Id="rId166" Type="http://schemas.openxmlformats.org/officeDocument/2006/relationships/image" Target="media/image135.png"/><Relationship Id="rId167" Type="http://schemas.openxmlformats.org/officeDocument/2006/relationships/hyperlink" Target="./glossary.html#term-ros_" TargetMode="External"/><Relationship Id="rId168" Type="http://schemas.openxmlformats.org/officeDocument/2006/relationships/image" Target="media/image136.png"/><Relationship Id="rId169" Type="http://schemas.openxmlformats.org/officeDocument/2006/relationships/image" Target="media/image137.png"/><Relationship Id="rId170" Type="http://schemas.openxmlformats.org/officeDocument/2006/relationships/hyperlink" Target="./glossary.html#term-rot-cin_" TargetMode="External"/><Relationship Id="rId171" Type="http://schemas.openxmlformats.org/officeDocument/2006/relationships/image" Target="media/image138.png"/><Relationship Id="rId172" Type="http://schemas.openxmlformats.org/officeDocument/2006/relationships/image" Target="media/image139.png"/><Relationship Id="rId173" Type="http://schemas.openxmlformats.org/officeDocument/2006/relationships/hyperlink" Target="./glossary.html#term-i-liquidita-primaria_" TargetMode="External"/><Relationship Id="rId174" Type="http://schemas.openxmlformats.org/officeDocument/2006/relationships/image" Target="media/image140.png"/><Relationship Id="rId175" Type="http://schemas.openxmlformats.org/officeDocument/2006/relationships/image" Target="media/image141.png"/><Relationship Id="rId176" Type="http://schemas.openxmlformats.org/officeDocument/2006/relationships/hyperlink" Target="./glossary.html#term-i-liquidita-secondaria_" TargetMode="External"/><Relationship Id="rId177" Type="http://schemas.openxmlformats.org/officeDocument/2006/relationships/image" Target="media/image142.png"/><Relationship Id="rId178" Type="http://schemas.openxmlformats.org/officeDocument/2006/relationships/image" Target="media/image143.png"/><Relationship Id="rId179" Type="http://schemas.openxmlformats.org/officeDocument/2006/relationships/hyperlink" Target="./glossary.html#term-i-durata-crediti-commerciali_" TargetMode="External"/><Relationship Id="rId180" Type="http://schemas.openxmlformats.org/officeDocument/2006/relationships/image" Target="media/image144.png"/><Relationship Id="rId181" Type="http://schemas.openxmlformats.org/officeDocument/2006/relationships/image" Target="media/image145.png"/><Relationship Id="rId182" Type="http://schemas.openxmlformats.org/officeDocument/2006/relationships/image" Target="media/image146.png"/><Relationship Id="rId183" Type="http://schemas.openxmlformats.org/officeDocument/2006/relationships/image" Target="media/image147.png"/><Relationship Id="rId184" Type="http://schemas.openxmlformats.org/officeDocument/2006/relationships/hyperlink" Target="./glossary.html#term-i-durata-rimanenze-magazzino_" TargetMode="External"/><Relationship Id="rId185" Type="http://schemas.openxmlformats.org/officeDocument/2006/relationships/image" Target="media/image148.png"/><Relationship Id="rId186" Type="http://schemas.openxmlformats.org/officeDocument/2006/relationships/image" Target="media/image149.png"/><Relationship Id="rId187" Type="http://schemas.openxmlformats.org/officeDocument/2006/relationships/hyperlink" Target="./glossary.html#term-i-durata-ciclo-commerciale_" TargetMode="External"/><Relationship Id="rId188" Type="http://schemas.openxmlformats.org/officeDocument/2006/relationships/image" Target="media/image150.png"/><Relationship Id="rId189" Type="http://schemas.openxmlformats.org/officeDocument/2006/relationships/image" Target="media/image151.png"/><Relationship Id="rId190" Type="http://schemas.openxmlformats.org/officeDocument/2006/relationships/hyperlink" Target="./glossary.html#term-cash-passivo_" TargetMode="External"/><Relationship Id="rId191" Type="http://schemas.openxmlformats.org/officeDocument/2006/relationships/image" Target="media/image152.png"/><Relationship Id="rId192" Type="http://schemas.openxmlformats.org/officeDocument/2006/relationships/image" Target="media/image153.png"/><Relationship Id="rId193" Type="http://schemas.openxmlformats.org/officeDocument/2006/relationships/hyperlink" Target="./glossary.html#term-cash-fatturato_" TargetMode="External"/><Relationship Id="rId194" Type="http://schemas.openxmlformats.org/officeDocument/2006/relationships/image" Target="media/image154.png"/><Relationship Id="rId195" Type="http://schemas.openxmlformats.org/officeDocument/2006/relationships/image" Target="media/image155.png"/><Relationship Id="rId196" Type="http://schemas.openxmlformats.org/officeDocument/2006/relationships/hyperlink" Target="./glossary.html#term-equity-negativo" TargetMode="External"/><Relationship Id="rId197" Type="http://schemas.openxmlformats.org/officeDocument/2006/relationships/hyperlink" Target="./glossary.html#term-dscr-dinamico" TargetMode="External"/><Relationship Id="rId198" Type="http://schemas.openxmlformats.org/officeDocument/2006/relationships/hyperlink" Target="./indici.html#link-indebitamento_" TargetMode="External"/><Relationship Id="rId199" Type="http://schemas.openxmlformats.org/officeDocument/2006/relationships/hyperlink" Target="./indici.html#link-indebitamento-oneroso_" TargetMode="External"/><Relationship Id="rId200" Type="http://schemas.openxmlformats.org/officeDocument/2006/relationships/hyperlink" Target="./indici.html#link-capacita-rimborso_" TargetMode="External"/><Relationship Id="rId201" Type="http://schemas.openxmlformats.org/officeDocument/2006/relationships/hyperlink" Target="./indici.html#link-copertura-immobilizzazioni_" TargetMode="External"/><Relationship Id="rId202" Type="http://schemas.openxmlformats.org/officeDocument/2006/relationships/hyperlink" Target="./indici.html#link-obsolenscanza-imm-mat_" TargetMode="External"/><Relationship Id="rId203" Type="http://schemas.openxmlformats.org/officeDocument/2006/relationships/hyperlink" Target="./indici.html#link-onerosita-finanziamenti_" TargetMode="External"/><Relationship Id="rId204" Type="http://schemas.openxmlformats.org/officeDocument/2006/relationships/hyperlink" Target="./indici.html#link-roe_" TargetMode="External"/><Relationship Id="rId205" Type="http://schemas.openxmlformats.org/officeDocument/2006/relationships/hyperlink" Target="./indici.html#link-roi_" TargetMode="External"/><Relationship Id="rId206" Type="http://schemas.openxmlformats.org/officeDocument/2006/relationships/hyperlink" Target="./indici.html#link-ros_" TargetMode="External"/><Relationship Id="rId207" Type="http://schemas.openxmlformats.org/officeDocument/2006/relationships/hyperlink" Target="./indici.html#link-rot-cin_" TargetMode="External"/><Relationship Id="rId208" Type="http://schemas.openxmlformats.org/officeDocument/2006/relationships/hyperlink" Target="./indici.html#link-i-liquidita-primaria_" TargetMode="External"/><Relationship Id="rId209" Type="http://schemas.openxmlformats.org/officeDocument/2006/relationships/hyperlink" Target="./indici.html#link-i-liquidita-secondaria_" TargetMode="External"/><Relationship Id="rId210" Type="http://schemas.openxmlformats.org/officeDocument/2006/relationships/hyperlink" Target="./indici.html#link-i-durata-crediti-commerciali_" TargetMode="External"/><Relationship Id="rId211" Type="http://schemas.openxmlformats.org/officeDocument/2006/relationships/hyperlink" Target="./indici.html#link-i-durata-debiti-commerciali_" TargetMode="External"/><Relationship Id="rId212" Type="http://schemas.openxmlformats.org/officeDocument/2006/relationships/hyperlink" Target="./indici.html#link-i-durata-rimanenze-magazzino_" TargetMode="External"/><Relationship Id="rId213" Type="http://schemas.openxmlformats.org/officeDocument/2006/relationships/hyperlink" Target="./indici.html#link-i-durata-ciclo-commerciale_" TargetMode="External"/><Relationship Id="rId214" Type="http://schemas.openxmlformats.org/officeDocument/2006/relationships/hyperlink" Target="./indici.html#link-cash-passivo_" TargetMode="External"/><Relationship Id="rId215" Type="http://schemas.openxmlformats.org/officeDocument/2006/relationships/hyperlink" Target="./indici.html#link-cash-fatturato_" TargetMode="External"/><Relationship Id="rId216" Type="http://schemas.openxmlformats.org/officeDocument/2006/relationships/hyperlink" Target="./crisi.html#link-crisi_" TargetMode="External"/><Relationship Id="rId8" Type="http://schemas.openxmlformats.org/officeDocument/2006/relationships/footer" Target="footer1.xml"/><Relationship Id="rId7" Type="http://schemas.openxmlformats.org/officeDocument/2006/relationships/endnotes" Target="endnotes.xml"/><Relationship Id="rId1" Type="http://schemas.openxmlformats.org/officeDocument/2006/relationships/customXml" Target="../customXml/item1.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9"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item1.xml><?xml version="1.0" encoding="utf-8"?>
<CoverPageProperties xmlns="http://schemas.microsoft.com/office/2006/coverPageProps"/>
</file>

<file path=customXml/item2.xml><?xml version="1.0" encoding="utf-8"?>
<CoverPageProperties xmlns="http://schemas.microsoft.com/office/2006/coverPageProp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Pilot S.r.l.</dc:title>
  <dc:creator xmlns:dc="http://purl.org/dc/elements/1.1/">Sinapsi S.r.l.</dc:creator>
  <dc:language xmlns:dc="http://purl.org/dc/elements/1.1/">it</dc:language>
  <dc:subject xmlns:dc="http://purl.org/dc/elements/1.1/">Company report</dc:subject>
</cp:coreProperties>
</file>

<file path=docProps/custom.xml><?xml version="1.0" encoding="utf-8"?>
<Properties xmlns="http://purl.oclc.org/ooxml/officeDocument/customProperties"/>
</file>